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D096" w14:textId="32CDA512" w:rsidR="00EE3211" w:rsidRPr="00112B0E" w:rsidRDefault="00DF4326" w:rsidP="00DF4326">
      <w:pPr>
        <w:jc w:val="center"/>
        <w:rPr>
          <w:b/>
          <w:bCs/>
          <w:sz w:val="28"/>
          <w:szCs w:val="28"/>
        </w:rPr>
      </w:pPr>
      <w:r w:rsidRPr="00112B0E">
        <w:rPr>
          <w:b/>
          <w:bCs/>
          <w:sz w:val="28"/>
          <w:szCs w:val="28"/>
        </w:rPr>
        <w:t>OVERVIEW OF SAS 134 THROUGH 140</w:t>
      </w:r>
    </w:p>
    <w:p w14:paraId="1642713E" w14:textId="23F73C6E" w:rsidR="00DF4326" w:rsidRPr="00112B0E" w:rsidRDefault="00DF4326"/>
    <w:p w14:paraId="5ED601F4" w14:textId="64CE920F" w:rsidR="00A7135E" w:rsidRPr="00112B0E" w:rsidRDefault="00FB16C1" w:rsidP="00FB16C1">
      <w:pPr>
        <w:jc w:val="center"/>
      </w:pPr>
      <w:r w:rsidRPr="00112B0E">
        <w:t>“</w:t>
      </w:r>
      <w:r w:rsidRPr="00112B0E">
        <w:rPr>
          <w:i/>
          <w:iCs/>
        </w:rPr>
        <w:t>The creation of a thousand forests is in one acorn</w:t>
      </w:r>
      <w:r w:rsidRPr="00112B0E">
        <w:t>.” – Ralph Waldo Emerson</w:t>
      </w:r>
    </w:p>
    <w:p w14:paraId="0F265E16" w14:textId="04580FD3" w:rsidR="00D44E47" w:rsidRPr="00112B0E" w:rsidRDefault="00F7270C">
      <w:r w:rsidRPr="00112B0E">
        <w:t>The Statements on Auditing Standards</w:t>
      </w:r>
      <w:r w:rsidR="00D44E47" w:rsidRPr="00112B0E">
        <w:t xml:space="preserve"> </w:t>
      </w:r>
      <w:r w:rsidRPr="00112B0E">
        <w:t>(</w:t>
      </w:r>
      <w:r w:rsidR="00D44E47" w:rsidRPr="00112B0E">
        <w:t>SASs</w:t>
      </w:r>
      <w:r w:rsidRPr="00112B0E">
        <w:t>) Nos.</w:t>
      </w:r>
      <w:r w:rsidR="00D44E47" w:rsidRPr="00112B0E">
        <w:t xml:space="preserve"> 134 through 140 deal primarily with substantial changes to the auditor’s report.  They are composed as, and intended to be implemented as, a group.  </w:t>
      </w:r>
    </w:p>
    <w:p w14:paraId="27C5A753" w14:textId="4163CDE5" w:rsidR="00D44E47" w:rsidRPr="00112B0E" w:rsidRDefault="00D44E47">
      <w:r w:rsidRPr="00112B0E">
        <w:t xml:space="preserve">SASs 134 – 140 will be implemented for periods ending on or after December 15, 2021.  Early implementation is permitted and encouraged.  All these SASs should be implemented simultaneously as they are related.  In April of 2020 the Auditing Standards Board (ASB) of the American Institute of Certified Public Accountants (AICPA) decided to delay the implementation of this group by one year.  </w:t>
      </w:r>
      <w:r w:rsidR="004C0365" w:rsidRPr="00112B0E">
        <w:t xml:space="preserve">The implementation had originally been scheduled for December 2020, but the Board was concerned over the impact of the COVID-19 pandemic on the ability of CPA firms and their clients to effectively and efficiently engage the implementation process.  </w:t>
      </w:r>
    </w:p>
    <w:p w14:paraId="13ACE8A2" w14:textId="79451FB5" w:rsidR="00BD346C" w:rsidRPr="00112B0E" w:rsidRDefault="004C0365">
      <w:r w:rsidRPr="00112B0E">
        <w:t xml:space="preserve">In this article we will enjoy a brief overview of the SAS 134 – 140 </w:t>
      </w:r>
      <w:proofErr w:type="gramStart"/>
      <w:r w:rsidRPr="00112B0E">
        <w:t>suite</w:t>
      </w:r>
      <w:proofErr w:type="gramEnd"/>
      <w:r w:rsidRPr="00112B0E">
        <w:t xml:space="preserve">.  </w:t>
      </w:r>
      <w:r w:rsidR="008B5BD2" w:rsidRPr="00112B0E">
        <w:t xml:space="preserve">Detailed </w:t>
      </w:r>
      <w:r w:rsidR="00346536" w:rsidRPr="00112B0E">
        <w:t>review of the new Statements on Auditing Standards by users</w:t>
      </w:r>
      <w:r w:rsidR="008B5BD2" w:rsidRPr="00112B0E">
        <w:t xml:space="preserve"> is encouraged </w:t>
      </w:r>
      <w:proofErr w:type="gramStart"/>
      <w:r w:rsidR="008B5BD2" w:rsidRPr="00112B0E">
        <w:t>in order for</w:t>
      </w:r>
      <w:proofErr w:type="gramEnd"/>
      <w:r w:rsidR="008B5BD2" w:rsidRPr="00112B0E">
        <w:t xml:space="preserve"> the reader to gain a</w:t>
      </w:r>
      <w:r w:rsidR="00A6755D" w:rsidRPr="00112B0E">
        <w:t xml:space="preserve"> thorough working understanding of the subject matter.  </w:t>
      </w:r>
    </w:p>
    <w:p w14:paraId="6BDE5E62" w14:textId="5DFB7C36" w:rsidR="005972CB" w:rsidRPr="00112B0E" w:rsidRDefault="005972CB">
      <w:r w:rsidRPr="00112B0E">
        <w:t xml:space="preserve">For purposes of this article we will use the definition of “related parties” as found in GASB 62 paragraph 57 - </w:t>
      </w:r>
      <w:r w:rsidRPr="00112B0E">
        <w:rPr>
          <w:i/>
          <w:iCs/>
        </w:rPr>
        <w:t>A government’s related organizations, joint ventures, and jointly governed organizations,</w:t>
      </w:r>
      <w:r w:rsidRPr="00112B0E">
        <w:rPr>
          <w:i/>
          <w:iCs/>
        </w:rPr>
        <w:br/>
        <w:t>as defined in Statement No. 14, The Financial Reporting Entity, as amended; elected and</w:t>
      </w:r>
      <w:r w:rsidRPr="00112B0E">
        <w:rPr>
          <w:i/>
          <w:iCs/>
        </w:rPr>
        <w:br/>
        <w:t>appointed officials of the government; its management; members of the immediate</w:t>
      </w:r>
      <w:r w:rsidRPr="00112B0E">
        <w:rPr>
          <w:i/>
          <w:iCs/>
        </w:rPr>
        <w:br/>
        <w:t>families of elected or appointed officials of the government and its management; and other</w:t>
      </w:r>
      <w:r w:rsidRPr="00112B0E">
        <w:rPr>
          <w:i/>
          <w:iCs/>
        </w:rPr>
        <w:br/>
        <w:t>parties with which the government may deal if one party can significantly influence the</w:t>
      </w:r>
      <w:r w:rsidRPr="00112B0E">
        <w:rPr>
          <w:i/>
          <w:iCs/>
        </w:rPr>
        <w:br/>
        <w:t>management or operating policies of the other to an extent that one of the transacting</w:t>
      </w:r>
      <w:r w:rsidRPr="00112B0E">
        <w:rPr>
          <w:i/>
          <w:iCs/>
        </w:rPr>
        <w:br/>
        <w:t>parties might be prevented from fully pursuing its own separate interests. Another party</w:t>
      </w:r>
      <w:r w:rsidRPr="00112B0E">
        <w:rPr>
          <w:i/>
          <w:iCs/>
        </w:rPr>
        <w:br/>
        <w:t>also is a related party if it can significantly influence the management or operating</w:t>
      </w:r>
      <w:r w:rsidRPr="00112B0E">
        <w:rPr>
          <w:i/>
          <w:iCs/>
        </w:rPr>
        <w:br/>
        <w:t>policies of the transacting parties (for example, through imposition of will as discussed in</w:t>
      </w:r>
      <w:r w:rsidRPr="00112B0E">
        <w:rPr>
          <w:i/>
          <w:iCs/>
        </w:rPr>
        <w:br/>
        <w:t>Statement 14, as amended) or if it has an ownership interest in one of the transacting</w:t>
      </w:r>
      <w:r w:rsidRPr="00112B0E">
        <w:rPr>
          <w:i/>
          <w:iCs/>
        </w:rPr>
        <w:br/>
        <w:t>parties and can significantly influence the other to an extent that one or more of the</w:t>
      </w:r>
      <w:r w:rsidRPr="00112B0E">
        <w:rPr>
          <w:i/>
          <w:iCs/>
        </w:rPr>
        <w:br/>
        <w:t>transacting parties might be prevented from fully pursuing its own separate interests</w:t>
      </w:r>
      <w:r w:rsidRPr="00112B0E">
        <w:t>.</w:t>
      </w:r>
    </w:p>
    <w:p w14:paraId="13D8FF68" w14:textId="4B02E6E1" w:rsidR="008334AA" w:rsidRPr="00112B0E" w:rsidRDefault="008334AA">
      <w:pPr>
        <w:rPr>
          <w:i/>
          <w:iCs/>
        </w:rPr>
      </w:pPr>
      <w:r w:rsidRPr="00112B0E">
        <w:t xml:space="preserve">For the purposes of this </w:t>
      </w:r>
      <w:r w:rsidR="00CF3A9A" w:rsidRPr="00112B0E">
        <w:t>article,</w:t>
      </w:r>
      <w:r w:rsidRPr="00112B0E">
        <w:t xml:space="preserve"> we will us the definition of “significant unusual transaction” as found in </w:t>
      </w:r>
      <w:r w:rsidR="007B58FB" w:rsidRPr="00112B0E">
        <w:t xml:space="preserve">SAS 135, - </w:t>
      </w:r>
      <w:r w:rsidR="007B58FB" w:rsidRPr="00112B0E">
        <w:rPr>
          <w:i/>
          <w:iCs/>
        </w:rPr>
        <w:t>Significant transactions that are outside the normal course of business for the entity or that otherwise appear to be unusual due to their timing, size, or nature.</w:t>
      </w:r>
    </w:p>
    <w:p w14:paraId="6F8B8E0A" w14:textId="1B24B4F5" w:rsidR="00622FF0" w:rsidRPr="00112B0E" w:rsidRDefault="00622FF0">
      <w:r w:rsidRPr="00112B0E">
        <w:rPr>
          <w:u w:val="single"/>
        </w:rPr>
        <w:t>SAS No. 134</w:t>
      </w:r>
      <w:r w:rsidRPr="00112B0E">
        <w:t xml:space="preserve"> – </w:t>
      </w:r>
      <w:r w:rsidRPr="00112B0E">
        <w:rPr>
          <w:b/>
          <w:bCs/>
        </w:rPr>
        <w:t>Auditor Reporting and Amendments, Including Amendments Addressing Disclosures in the Audit of Financial Statements</w:t>
      </w:r>
    </w:p>
    <w:p w14:paraId="6A3ED958" w14:textId="0A568EA3" w:rsidR="00622FF0" w:rsidRPr="00112B0E" w:rsidRDefault="00A579A2">
      <w:r w:rsidRPr="00112B0E">
        <w:t>SAS number 134</w:t>
      </w:r>
      <w:r w:rsidR="00622FF0" w:rsidRPr="00112B0E">
        <w:t xml:space="preserve"> address</w:t>
      </w:r>
      <w:r w:rsidRPr="00112B0E">
        <w:t>es</w:t>
      </w:r>
      <w:r w:rsidR="00622FF0" w:rsidRPr="00112B0E">
        <w:t xml:space="preserve"> the auditor’s responsibility to form an opinion on the financial statements</w:t>
      </w:r>
      <w:r w:rsidR="00082F2A" w:rsidRPr="00112B0E">
        <w:t xml:space="preserve"> based on sufficient appropriate evidence</w:t>
      </w:r>
      <w:r w:rsidR="00622FF0" w:rsidRPr="00112B0E">
        <w:t>.</w:t>
      </w:r>
      <w:r w:rsidR="00082F2A" w:rsidRPr="00112B0E">
        <w:t xml:space="preserve">  </w:t>
      </w:r>
      <w:r w:rsidRPr="00112B0E">
        <w:t>It</w:t>
      </w:r>
      <w:r w:rsidR="00622FF0" w:rsidRPr="00112B0E">
        <w:t xml:space="preserve"> </w:t>
      </w:r>
      <w:r w:rsidR="008064F6" w:rsidRPr="00112B0E">
        <w:t>discusses communicating key audit matters</w:t>
      </w:r>
      <w:r w:rsidR="00D34B76" w:rsidRPr="00112B0E">
        <w:t xml:space="preserve"> (KAM)</w:t>
      </w:r>
      <w:r w:rsidR="008064F6" w:rsidRPr="00112B0E">
        <w:t xml:space="preserve"> in the independent auditor’s report</w:t>
      </w:r>
      <w:r w:rsidR="00622FF0" w:rsidRPr="00112B0E">
        <w:t>.</w:t>
      </w:r>
      <w:r w:rsidR="008064F6" w:rsidRPr="00112B0E">
        <w:t xml:space="preserve">  This reporting of key audit matters is intended to provide greater transparency regarding the audit.  In addition, modifications to the opinion in the auditor’s report are reviewed.  These modifications include a qualified opinion, an adverse opinion, and a disclaimer of opinion.  Finally, Emphasis-of-Matter</w:t>
      </w:r>
      <w:r w:rsidR="00D34B76" w:rsidRPr="00112B0E">
        <w:t xml:space="preserve"> (EOM)</w:t>
      </w:r>
      <w:r w:rsidR="008064F6" w:rsidRPr="00112B0E">
        <w:t xml:space="preserve"> paragraphs and Other-Matter paragraphs are discussed.  </w:t>
      </w:r>
      <w:r w:rsidR="008064F6" w:rsidRPr="00112B0E">
        <w:lastRenderedPageBreak/>
        <w:t>The requirements for the auditor to include these paragraphs and the form of the paragraphs are detailed as well.</w:t>
      </w:r>
    </w:p>
    <w:p w14:paraId="1416B5B9" w14:textId="65E4A280" w:rsidR="00D10921" w:rsidRPr="00112B0E" w:rsidRDefault="00D10921">
      <w:pPr>
        <w:rPr>
          <w:i/>
          <w:iCs/>
        </w:rPr>
      </w:pPr>
      <w:r w:rsidRPr="00112B0E">
        <w:rPr>
          <w:i/>
          <w:iCs/>
        </w:rPr>
        <w:t>Things to Consider: This SAS will have minimal impact to audit clients.  Its focus is primarily an auditor function.</w:t>
      </w:r>
    </w:p>
    <w:p w14:paraId="513A9A8C" w14:textId="50877BE1" w:rsidR="00C73F7C" w:rsidRPr="00112B0E" w:rsidRDefault="00C73F7C" w:rsidP="00C73F7C">
      <w:r w:rsidRPr="00112B0E">
        <w:rPr>
          <w:u w:val="single"/>
        </w:rPr>
        <w:t>SAS No. 135</w:t>
      </w:r>
      <w:r w:rsidRPr="00112B0E">
        <w:t xml:space="preserve"> – </w:t>
      </w:r>
      <w:r w:rsidRPr="00112B0E">
        <w:rPr>
          <w:b/>
          <w:bCs/>
        </w:rPr>
        <w:t>Omnibus Statement on Auditing Standards - 2019</w:t>
      </w:r>
    </w:p>
    <w:p w14:paraId="5047CA25" w14:textId="59459A71" w:rsidR="00C73F7C" w:rsidRPr="00112B0E" w:rsidRDefault="00C73F7C" w:rsidP="008E60F1">
      <w:r w:rsidRPr="00112B0E">
        <w:t>This standard is intended to more closely align Auditing Standards Board</w:t>
      </w:r>
      <w:r w:rsidR="00556FBD" w:rsidRPr="00112B0E">
        <w:t xml:space="preserve"> (ASB)</w:t>
      </w:r>
      <w:r w:rsidRPr="00112B0E">
        <w:t xml:space="preserve"> guidance with the </w:t>
      </w:r>
      <w:r w:rsidR="00556FBD" w:rsidRPr="00112B0E">
        <w:t>Public Company Accounting Oversight Board (</w:t>
      </w:r>
      <w:r w:rsidRPr="00112B0E">
        <w:t>PCAOB</w:t>
      </w:r>
      <w:r w:rsidR="00556FBD" w:rsidRPr="00112B0E">
        <w:t>)</w:t>
      </w:r>
      <w:r w:rsidRPr="00112B0E">
        <w:t>.</w:t>
      </w:r>
    </w:p>
    <w:p w14:paraId="2A1A6DF0" w14:textId="509C0A4B" w:rsidR="00265EB4" w:rsidRPr="00112B0E" w:rsidRDefault="00B52367" w:rsidP="00556FBD">
      <w:r w:rsidRPr="00112B0E">
        <w:t>This standard</w:t>
      </w:r>
      <w:r w:rsidR="00556FBD" w:rsidRPr="00112B0E">
        <w:t xml:space="preserve"> addresses the auditor’s responsibilities in agreeing upon the terms of the audit engagement with management and, when appropriate, those charged with governance (TCWG).  Certain preconditions are established for an audit, for which management and, when appropriate TCWG are responsible.  </w:t>
      </w:r>
      <w:r w:rsidR="008E60F1" w:rsidRPr="00112B0E">
        <w:t>It e</w:t>
      </w:r>
      <w:r w:rsidR="00556FBD" w:rsidRPr="00112B0E">
        <w:t>stablish</w:t>
      </w:r>
      <w:r w:rsidR="008E60F1" w:rsidRPr="00112B0E">
        <w:t>es</w:t>
      </w:r>
      <w:r w:rsidR="00556FBD" w:rsidRPr="00112B0E">
        <w:t xml:space="preserve"> whether preconditions are present</w:t>
      </w:r>
      <w:r w:rsidR="00265EB4" w:rsidRPr="00112B0E">
        <w:t xml:space="preserve"> (</w:t>
      </w:r>
      <w:r w:rsidR="00D10921" w:rsidRPr="00112B0E">
        <w:t>i.e.,</w:t>
      </w:r>
      <w:r w:rsidR="00265EB4" w:rsidRPr="00112B0E">
        <w:t xml:space="preserve"> acceptable financial reporting framework </w:t>
      </w:r>
      <w:r w:rsidR="00D10921" w:rsidRPr="00112B0E">
        <w:t>exists,</w:t>
      </w:r>
      <w:r w:rsidR="00265EB4" w:rsidRPr="00112B0E">
        <w:t xml:space="preserve"> and </w:t>
      </w:r>
      <w:r w:rsidR="008E60F1" w:rsidRPr="00112B0E">
        <w:t>management</w:t>
      </w:r>
      <w:r w:rsidR="00265EB4" w:rsidRPr="00112B0E">
        <w:t xml:space="preserve"> acknowledges and accepts its responsibility for financial statement presentation</w:t>
      </w:r>
      <w:r w:rsidR="008E60F1" w:rsidRPr="00112B0E">
        <w:t>)</w:t>
      </w:r>
      <w:r w:rsidR="00265EB4" w:rsidRPr="00112B0E">
        <w:t>,</w:t>
      </w:r>
      <w:r w:rsidR="008E60F1" w:rsidRPr="00112B0E">
        <w:t xml:space="preserve"> whether</w:t>
      </w:r>
      <w:r w:rsidR="00265EB4" w:rsidRPr="00112B0E">
        <w:t xml:space="preserve"> the internal control system</w:t>
      </w:r>
      <w:r w:rsidR="008E60F1" w:rsidRPr="00112B0E">
        <w:t xml:space="preserve"> is in place</w:t>
      </w:r>
      <w:r w:rsidR="00265EB4" w:rsidRPr="00112B0E">
        <w:t xml:space="preserve">, </w:t>
      </w:r>
      <w:r w:rsidR="008E60F1" w:rsidRPr="00112B0E">
        <w:t xml:space="preserve">whether the </w:t>
      </w:r>
      <w:r w:rsidR="00265EB4" w:rsidRPr="00112B0E">
        <w:t>auditor</w:t>
      </w:r>
      <w:r w:rsidR="008E60F1" w:rsidRPr="00112B0E">
        <w:t xml:space="preserve"> is provided</w:t>
      </w:r>
      <w:r w:rsidR="00265EB4" w:rsidRPr="00112B0E">
        <w:t xml:space="preserve"> with access to all </w:t>
      </w:r>
      <w:proofErr w:type="gramStart"/>
      <w:r w:rsidR="00265EB4" w:rsidRPr="00112B0E">
        <w:t>information</w:t>
      </w:r>
      <w:r w:rsidR="008E60F1" w:rsidRPr="00112B0E">
        <w:t>, and</w:t>
      </w:r>
      <w:proofErr w:type="gramEnd"/>
      <w:r w:rsidR="008E60F1" w:rsidRPr="00112B0E">
        <w:t xml:space="preserve"> </w:t>
      </w:r>
      <w:r w:rsidR="00556FBD" w:rsidRPr="00112B0E">
        <w:t>confirm</w:t>
      </w:r>
      <w:r w:rsidR="008E60F1" w:rsidRPr="00112B0E">
        <w:t>s</w:t>
      </w:r>
      <w:r w:rsidR="00556FBD" w:rsidRPr="00112B0E">
        <w:t xml:space="preserve"> that a common understanding exists of the terms of the audit</w:t>
      </w:r>
      <w:r w:rsidR="00265EB4" w:rsidRPr="00112B0E">
        <w:t>.</w:t>
      </w:r>
    </w:p>
    <w:p w14:paraId="5E42BA83" w14:textId="1713C75C" w:rsidR="00556FBD" w:rsidRPr="00112B0E" w:rsidRDefault="008E60F1" w:rsidP="00556FBD">
      <w:r w:rsidRPr="00112B0E">
        <w:t>SAS 135</w:t>
      </w:r>
      <w:r w:rsidR="00265EB4" w:rsidRPr="00112B0E">
        <w:rPr>
          <w:b/>
          <w:bCs/>
        </w:rPr>
        <w:t xml:space="preserve"> </w:t>
      </w:r>
      <w:r w:rsidR="00265EB4" w:rsidRPr="00112B0E">
        <w:t xml:space="preserve">addresses the auditor’s responsibilities relating to fraud in an audit of financial statements.  This responsibility rests primarily with TCWG and management.  The auditor is responsible for obtaining reasonable assurance that </w:t>
      </w:r>
      <w:r w:rsidR="00E4079C" w:rsidRPr="00112B0E">
        <w:t>t</w:t>
      </w:r>
      <w:r w:rsidR="00265EB4" w:rsidRPr="00112B0E">
        <w:t xml:space="preserve">he financial statements </w:t>
      </w:r>
      <w:proofErr w:type="gramStart"/>
      <w:r w:rsidR="00265EB4" w:rsidRPr="00112B0E">
        <w:t>as a whole are</w:t>
      </w:r>
      <w:proofErr w:type="gramEnd"/>
      <w:r w:rsidR="00265EB4" w:rsidRPr="00112B0E">
        <w:t xml:space="preserve"> free from material misstatement, whether caused by fraud or error.</w:t>
      </w:r>
    </w:p>
    <w:p w14:paraId="0C9E5A10" w14:textId="72B26CF8" w:rsidR="00CA08F7" w:rsidRPr="00112B0E" w:rsidRDefault="00A935CA" w:rsidP="00556FBD">
      <w:r w:rsidRPr="00112B0E">
        <w:t>SAS 135</w:t>
      </w:r>
      <w:r w:rsidR="00265EB4" w:rsidRPr="00112B0E">
        <w:rPr>
          <w:b/>
          <w:bCs/>
        </w:rPr>
        <w:t xml:space="preserve"> </w:t>
      </w:r>
      <w:r w:rsidR="00CA08F7" w:rsidRPr="00112B0E">
        <w:t>provides the overarching framework for the auditor’s communication with TCWG and identifies some specific matters to be communicated.</w:t>
      </w:r>
      <w:r w:rsidR="008E60F1" w:rsidRPr="00112B0E">
        <w:t xml:space="preserve">  </w:t>
      </w:r>
      <w:r w:rsidRPr="00112B0E">
        <w:t>The SAS</w:t>
      </w:r>
      <w:r w:rsidR="008E60F1" w:rsidRPr="00112B0E">
        <w:t xml:space="preserve"> </w:t>
      </w:r>
      <w:r w:rsidR="00CA08F7" w:rsidRPr="00112B0E">
        <w:t>addresses the auditor’s responsibility to communicate to TCWG and management</w:t>
      </w:r>
      <w:r w:rsidR="008E60F1" w:rsidRPr="00112B0E">
        <w:t>,</w:t>
      </w:r>
      <w:r w:rsidR="00CA08F7" w:rsidRPr="00112B0E">
        <w:t xml:space="preserve"> deficiencies in internal control that the auditor has identified.  </w:t>
      </w:r>
      <w:r w:rsidR="008E60F1" w:rsidRPr="00112B0E">
        <w:t>However, n</w:t>
      </w:r>
      <w:r w:rsidR="00CA08F7" w:rsidRPr="00112B0E">
        <w:t>o additional responsibilities on the auditor are imposed regarding obtaining an understanding of the internal control system.</w:t>
      </w:r>
    </w:p>
    <w:p w14:paraId="2D9EBEE2" w14:textId="751FA4DB" w:rsidR="000512D8" w:rsidRPr="00112B0E" w:rsidRDefault="008E60F1" w:rsidP="00556FBD">
      <w:r w:rsidRPr="00112B0E">
        <w:t>The auditor is required to obtain an u</w:t>
      </w:r>
      <w:r w:rsidR="00CA08F7" w:rsidRPr="00112B0E">
        <w:t>nderstanding</w:t>
      </w:r>
      <w:r w:rsidR="00B52367" w:rsidRPr="00112B0E">
        <w:t xml:space="preserve"> of</w:t>
      </w:r>
      <w:r w:rsidR="00CA08F7" w:rsidRPr="00112B0E">
        <w:t xml:space="preserve"> the </w:t>
      </w:r>
      <w:r w:rsidRPr="00112B0E">
        <w:t>e</w:t>
      </w:r>
      <w:r w:rsidR="00CA08F7" w:rsidRPr="00112B0E">
        <w:t xml:space="preserve">ntity and </w:t>
      </w:r>
      <w:r w:rsidRPr="00112B0E">
        <w:t>i</w:t>
      </w:r>
      <w:r w:rsidR="00CA08F7" w:rsidRPr="00112B0E">
        <w:t xml:space="preserve">ts </w:t>
      </w:r>
      <w:r w:rsidRPr="00112B0E">
        <w:t>e</w:t>
      </w:r>
      <w:r w:rsidR="00CA08F7" w:rsidRPr="00112B0E">
        <w:t xml:space="preserve">nvironment and </w:t>
      </w:r>
      <w:r w:rsidRPr="00112B0E">
        <w:t>a</w:t>
      </w:r>
      <w:r w:rsidR="00CA08F7" w:rsidRPr="00112B0E">
        <w:t xml:space="preserve">ssessing the </w:t>
      </w:r>
      <w:r w:rsidRPr="00112B0E">
        <w:t>r</w:t>
      </w:r>
      <w:r w:rsidR="00CA08F7" w:rsidRPr="00112B0E">
        <w:t xml:space="preserve">isk of </w:t>
      </w:r>
      <w:r w:rsidRPr="00112B0E">
        <w:t>m</w:t>
      </w:r>
      <w:r w:rsidR="00CA08F7" w:rsidRPr="00112B0E">
        <w:t xml:space="preserve">aterial </w:t>
      </w:r>
      <w:r w:rsidRPr="00112B0E">
        <w:t>m</w:t>
      </w:r>
      <w:r w:rsidR="00CA08F7" w:rsidRPr="00112B0E">
        <w:t>isstatement</w:t>
      </w:r>
      <w:r w:rsidRPr="00112B0E">
        <w:t>.</w:t>
      </w:r>
      <w:r w:rsidR="00CA08F7" w:rsidRPr="00112B0E">
        <w:t xml:space="preserve"> </w:t>
      </w:r>
      <w:r w:rsidRPr="00112B0E">
        <w:t xml:space="preserve"> The a</w:t>
      </w:r>
      <w:r w:rsidR="000512D8" w:rsidRPr="00112B0E">
        <w:t>uditor is required to perform risk assessment procedures (inquiry of management, analytical procedures, observation,</w:t>
      </w:r>
      <w:r w:rsidRPr="00112B0E">
        <w:t xml:space="preserve"> and</w:t>
      </w:r>
      <w:r w:rsidR="000512D8" w:rsidRPr="00112B0E">
        <w:t xml:space="preserve"> inspection</w:t>
      </w:r>
      <w:r w:rsidRPr="00112B0E">
        <w:t>)</w:t>
      </w:r>
      <w:r w:rsidR="000512D8" w:rsidRPr="00112B0E">
        <w:t>.</w:t>
      </w:r>
      <w:r w:rsidR="00C96681" w:rsidRPr="00112B0E">
        <w:t xml:space="preserve">  In</w:t>
      </w:r>
      <w:r w:rsidR="000512D8" w:rsidRPr="00112B0E">
        <w:t xml:space="preserve"> response to the </w:t>
      </w:r>
      <w:r w:rsidR="00DF708C" w:rsidRPr="00112B0E">
        <w:t>understanding of risk of material misstatement</w:t>
      </w:r>
      <w:r w:rsidR="00C96681" w:rsidRPr="00112B0E">
        <w:t xml:space="preserve"> t</w:t>
      </w:r>
      <w:r w:rsidR="00DF708C" w:rsidRPr="00112B0E">
        <w:t>he auditor must design and perform audit procedures to obtain sufficient appropriate evidence to support an opinion.</w:t>
      </w:r>
    </w:p>
    <w:p w14:paraId="40269F41" w14:textId="43E3DB46" w:rsidR="00DF708C" w:rsidRPr="00112B0E" w:rsidRDefault="00C96681" w:rsidP="00556FBD">
      <w:r w:rsidRPr="00112B0E">
        <w:t>T</w:t>
      </w:r>
      <w:r w:rsidR="00DF708C" w:rsidRPr="00112B0E">
        <w:t>he auditor must obtain sufficient appropriate evidence regarding whether opening balances contain misstatements, appropriate accounting policies are reflected in the opening balances,</w:t>
      </w:r>
      <w:r w:rsidRPr="00112B0E">
        <w:t xml:space="preserve"> and</w:t>
      </w:r>
      <w:r w:rsidR="00DF708C" w:rsidRPr="00112B0E">
        <w:t xml:space="preserve"> changes to accounting policies have been accounted for and disclosed.</w:t>
      </w:r>
      <w:r w:rsidR="008106DD" w:rsidRPr="00112B0E">
        <w:t xml:space="preserve">  </w:t>
      </w:r>
    </w:p>
    <w:p w14:paraId="4997E2D9" w14:textId="4F175B70" w:rsidR="00D10921" w:rsidRPr="00112B0E" w:rsidRDefault="008106DD" w:rsidP="00556FBD">
      <w:r w:rsidRPr="00112B0E">
        <w:t>SAS 135</w:t>
      </w:r>
      <w:r w:rsidR="00DF708C" w:rsidRPr="00112B0E">
        <w:rPr>
          <w:b/>
          <w:bCs/>
        </w:rPr>
        <w:t xml:space="preserve"> </w:t>
      </w:r>
      <w:r w:rsidR="001D6C3A" w:rsidRPr="00112B0E">
        <w:t>addresses the auditor’s responsibility to understand the entity’s related party relationships and ensure that appropriate accounting and disclosure measures are taken.</w:t>
      </w:r>
      <w:r w:rsidR="00174702" w:rsidRPr="00112B0E">
        <w:t xml:space="preserve"> Going forward, auditors will inquire about related party </w:t>
      </w:r>
      <w:r w:rsidR="000057DE" w:rsidRPr="00112B0E">
        <w:t xml:space="preserve">and significant unusual </w:t>
      </w:r>
      <w:r w:rsidR="00174702" w:rsidRPr="00112B0E">
        <w:t>transactions not approved and authorized according to established policies and procedures.  In addition, they will inquire about related party</w:t>
      </w:r>
      <w:r w:rsidR="000057DE" w:rsidRPr="00112B0E">
        <w:t xml:space="preserve"> and significant unusual</w:t>
      </w:r>
      <w:r w:rsidR="00174702" w:rsidRPr="00112B0E">
        <w:t xml:space="preserve"> transactions for which exceptions to policies and procedures were granted and the reasons for granting those exceptions.</w:t>
      </w:r>
    </w:p>
    <w:p w14:paraId="6B29FFEA" w14:textId="28D4AE5C" w:rsidR="001D6C3A" w:rsidRPr="00112B0E" w:rsidRDefault="00B52367" w:rsidP="00556FBD">
      <w:r w:rsidRPr="00112B0E">
        <w:lastRenderedPageBreak/>
        <w:t>This SAS</w:t>
      </w:r>
      <w:r w:rsidR="001D6C3A" w:rsidRPr="00112B0E">
        <w:rPr>
          <w:b/>
          <w:bCs/>
        </w:rPr>
        <w:t xml:space="preserve"> </w:t>
      </w:r>
      <w:r w:rsidR="001D6C3A" w:rsidRPr="00112B0E">
        <w:t>addresses the auditor’s</w:t>
      </w:r>
      <w:r w:rsidR="002D09AA" w:rsidRPr="00112B0E">
        <w:t xml:space="preserve">, and predecessor auditor’s, responsibilities </w:t>
      </w:r>
      <w:r w:rsidR="009D16E4" w:rsidRPr="00112B0E">
        <w:t xml:space="preserve">regarding subsequent events; those that provide evidence of conditions that existed at the date of the financial statements and those that provide evidence of conditions that arose after the date of the financial statements.  </w:t>
      </w:r>
    </w:p>
    <w:p w14:paraId="06B9CCD4" w14:textId="7EBB9392" w:rsidR="009D16E4" w:rsidRPr="00112B0E" w:rsidRDefault="009D16E4" w:rsidP="00556FBD">
      <w:r w:rsidRPr="00112B0E">
        <w:t>Generally accepted auditing standards apply to group audits</w:t>
      </w:r>
      <w:r w:rsidR="005543E5" w:rsidRPr="00112B0E">
        <w:t xml:space="preserve"> (e.g., Annual Comprehensive Financial Report)</w:t>
      </w:r>
      <w:r w:rsidRPr="00112B0E">
        <w:t xml:space="preserve">.  </w:t>
      </w:r>
      <w:r w:rsidR="009A5A26" w:rsidRPr="00112B0E">
        <w:t>SAS 135 also</w:t>
      </w:r>
      <w:r w:rsidRPr="00112B0E">
        <w:t xml:space="preserve"> addresses special considerations that apply to group audits.  The group engagement partner is required to be satis</w:t>
      </w:r>
      <w:r w:rsidR="00084143" w:rsidRPr="00112B0E">
        <w:t xml:space="preserve">fied that those performing the audit engagement collectively possess the appropriate competence and capabilities. </w:t>
      </w:r>
    </w:p>
    <w:p w14:paraId="74F922AE" w14:textId="4CB958E6" w:rsidR="004A77A9" w:rsidRPr="00112B0E" w:rsidRDefault="009A5A26" w:rsidP="00556FBD">
      <w:r w:rsidRPr="00112B0E">
        <w:t>A</w:t>
      </w:r>
      <w:r w:rsidR="00084143" w:rsidRPr="00112B0E">
        <w:t>uditor’s responsibilities when engaged to review interim financial information</w:t>
      </w:r>
      <w:r w:rsidRPr="00112B0E">
        <w:t xml:space="preserve"> is an important topic covered as well</w:t>
      </w:r>
      <w:r w:rsidR="00084143" w:rsidRPr="00112B0E">
        <w:t xml:space="preserve">.  </w:t>
      </w:r>
      <w:r w:rsidRPr="00112B0E">
        <w:t>Remember, in these situations the audit</w:t>
      </w:r>
      <w:r w:rsidR="00B52367" w:rsidRPr="00112B0E">
        <w:t>or</w:t>
      </w:r>
      <w:r w:rsidRPr="00112B0E">
        <w:t xml:space="preserve"> is n</w:t>
      </w:r>
      <w:r w:rsidR="00084143" w:rsidRPr="00112B0E">
        <w:t xml:space="preserve">ot performing an audit.  </w:t>
      </w:r>
      <w:r w:rsidR="004A77A9" w:rsidRPr="00112B0E">
        <w:t>The objective of the auditor when doing this work is to obtain a basis for reporting whether the auditor is aware of any material modifications that should be made to the interim financial information for it to be in accordance with the applicable financial reporting framework through performing limited procedures.</w:t>
      </w:r>
    </w:p>
    <w:p w14:paraId="50E9DB4E" w14:textId="3FECCC8B" w:rsidR="00084143" w:rsidRPr="00112B0E" w:rsidRDefault="009A5A26" w:rsidP="00556FBD">
      <w:r w:rsidRPr="00112B0E">
        <w:t>T</w:t>
      </w:r>
      <w:r w:rsidR="004A77A9" w:rsidRPr="00112B0E">
        <w:t xml:space="preserve">his </w:t>
      </w:r>
      <w:r w:rsidR="00B52367" w:rsidRPr="00112B0E">
        <w:t>s</w:t>
      </w:r>
      <w:r w:rsidRPr="00112B0E">
        <w:t>tandard</w:t>
      </w:r>
      <w:r w:rsidR="004A77A9" w:rsidRPr="00112B0E">
        <w:t xml:space="preserve"> establishes requirements and provides guidance that applies only when an auditor is engaged to perform an audit of internal control over financial reporting (ICFR) that is integrated with an audit of financial statements (</w:t>
      </w:r>
      <w:r w:rsidR="004A77A9" w:rsidRPr="00112B0E">
        <w:rPr>
          <w:i/>
          <w:iCs/>
        </w:rPr>
        <w:t>integrated audit</w:t>
      </w:r>
      <w:r w:rsidR="004A77A9" w:rsidRPr="00112B0E">
        <w:t>).  The auditor is to obtain reasonable assurance about whether material weaknesses exist as of the date specified in management’s assessment about the effectiveness of ICFR and express an opinion on the effectiveness of ICFR in a written report</w:t>
      </w:r>
      <w:r w:rsidRPr="00112B0E">
        <w:t>.</w:t>
      </w:r>
    </w:p>
    <w:p w14:paraId="538AFF08" w14:textId="6757C1CA" w:rsidR="00D10921" w:rsidRPr="00112B0E" w:rsidRDefault="00D10921" w:rsidP="00D10921">
      <w:pPr>
        <w:rPr>
          <w:i/>
          <w:iCs/>
        </w:rPr>
      </w:pPr>
      <w:r w:rsidRPr="00112B0E">
        <w:rPr>
          <w:i/>
          <w:iCs/>
        </w:rPr>
        <w:t>Things to Consider:   An audit client should have current documented policies and procedures</w:t>
      </w:r>
      <w:r w:rsidR="00B03F4E" w:rsidRPr="00112B0E">
        <w:rPr>
          <w:i/>
          <w:iCs/>
        </w:rPr>
        <w:t xml:space="preserve"> (P&amp;P)</w:t>
      </w:r>
      <w:r w:rsidRPr="00112B0E">
        <w:rPr>
          <w:i/>
          <w:iCs/>
        </w:rPr>
        <w:t xml:space="preserve"> regarding the appropriate approval and disclosure of related party</w:t>
      </w:r>
      <w:r w:rsidR="000057DE" w:rsidRPr="00112B0E">
        <w:rPr>
          <w:i/>
          <w:iCs/>
        </w:rPr>
        <w:t xml:space="preserve"> and significant unusual</w:t>
      </w:r>
      <w:r w:rsidRPr="00112B0E">
        <w:rPr>
          <w:i/>
          <w:iCs/>
        </w:rPr>
        <w:t xml:space="preserve"> transactions.  </w:t>
      </w:r>
      <w:r w:rsidR="00B03F4E" w:rsidRPr="00112B0E">
        <w:rPr>
          <w:i/>
          <w:iCs/>
        </w:rPr>
        <w:t xml:space="preserve">The P&amp;P should explain restrictions on related party </w:t>
      </w:r>
      <w:r w:rsidR="000057DE" w:rsidRPr="00112B0E">
        <w:rPr>
          <w:i/>
          <w:iCs/>
        </w:rPr>
        <w:t xml:space="preserve">and significant unusual </w:t>
      </w:r>
      <w:r w:rsidR="00B03F4E" w:rsidRPr="00112B0E">
        <w:rPr>
          <w:i/>
          <w:iCs/>
        </w:rPr>
        <w:t xml:space="preserve">transactions, </w:t>
      </w:r>
      <w:r w:rsidR="000057DE" w:rsidRPr="00112B0E">
        <w:rPr>
          <w:i/>
          <w:iCs/>
        </w:rPr>
        <w:t>the process for gaining approval for these transactions, any documentation requirements for this approval, and documentation of the business purpose for the transactions.</w:t>
      </w:r>
    </w:p>
    <w:p w14:paraId="7821140D" w14:textId="37F08814" w:rsidR="00462613" w:rsidRPr="00112B0E" w:rsidRDefault="00462613" w:rsidP="00462613">
      <w:r w:rsidRPr="00112B0E">
        <w:rPr>
          <w:u w:val="single"/>
        </w:rPr>
        <w:t>SAS No. 137</w:t>
      </w:r>
      <w:r w:rsidRPr="00112B0E">
        <w:t xml:space="preserve"> – </w:t>
      </w:r>
      <w:r w:rsidRPr="00112B0E">
        <w:rPr>
          <w:b/>
          <w:bCs/>
        </w:rPr>
        <w:t>The Auditor’s Responsibilities Relating to Other Information Included in Annual Reports</w:t>
      </w:r>
    </w:p>
    <w:p w14:paraId="280B1E46" w14:textId="7AF34D27" w:rsidR="00462613" w:rsidRPr="00112B0E" w:rsidRDefault="005428DC" w:rsidP="00462613">
      <w:pPr>
        <w:ind w:firstLine="720"/>
      </w:pPr>
      <w:r w:rsidRPr="00112B0E">
        <w:t>SAS 137</w:t>
      </w:r>
      <w:r w:rsidR="00462613" w:rsidRPr="00112B0E">
        <w:t xml:space="preserve"> addresses the auditor’s responsibilities relating to other information, whether financial or nonfinancial information (other than financial statements and the auditor’s report thereon), included in an entity’s annual report.  An entity’s annual report may be a single document or a combination of documents that serve the same purpose.</w:t>
      </w:r>
      <w:r w:rsidRPr="00112B0E">
        <w:t xml:space="preserve">  The auditor’s opinion on the financial statements does not cover the other information, nor is the auditor required to obtain audit evidence beyond that required to form an opinion on the financial statements. </w:t>
      </w:r>
    </w:p>
    <w:p w14:paraId="2CB24C2F" w14:textId="77777777" w:rsidR="000057DE" w:rsidRPr="00112B0E" w:rsidRDefault="000057DE" w:rsidP="000057DE">
      <w:pPr>
        <w:rPr>
          <w:i/>
          <w:iCs/>
        </w:rPr>
      </w:pPr>
      <w:r w:rsidRPr="00112B0E">
        <w:rPr>
          <w:i/>
          <w:iCs/>
        </w:rPr>
        <w:t>Things to Consider: This SAS will have minimal impact to audit clients.  Its focus is primarily an auditor function.</w:t>
      </w:r>
    </w:p>
    <w:p w14:paraId="419EA2A9" w14:textId="4026732F" w:rsidR="00031C45" w:rsidRPr="00112B0E" w:rsidRDefault="00031C45" w:rsidP="00031C45">
      <w:r w:rsidRPr="00112B0E">
        <w:rPr>
          <w:u w:val="single"/>
        </w:rPr>
        <w:t>SAS No. 138</w:t>
      </w:r>
      <w:r w:rsidRPr="00112B0E">
        <w:t xml:space="preserve"> – </w:t>
      </w:r>
      <w:r w:rsidRPr="00112B0E">
        <w:rPr>
          <w:b/>
          <w:bCs/>
        </w:rPr>
        <w:t>Amendments to the Description of the Concept of Materiality</w:t>
      </w:r>
    </w:p>
    <w:p w14:paraId="7DD30A14" w14:textId="10E483B0" w:rsidR="00031C45" w:rsidRPr="00112B0E" w:rsidRDefault="00031C45" w:rsidP="003C4CD8">
      <w:r w:rsidRPr="00112B0E">
        <w:t xml:space="preserve">SAS No. 138 amends various AU-C sections in AICPA </w:t>
      </w:r>
      <w:r w:rsidRPr="00112B0E">
        <w:rPr>
          <w:i/>
          <w:iCs/>
        </w:rPr>
        <w:t>Professional Standar</w:t>
      </w:r>
      <w:r w:rsidR="006F3A24" w:rsidRPr="00112B0E">
        <w:rPr>
          <w:i/>
          <w:iCs/>
        </w:rPr>
        <w:t>d</w:t>
      </w:r>
      <w:r w:rsidRPr="00112B0E">
        <w:rPr>
          <w:i/>
          <w:iCs/>
        </w:rPr>
        <w:t>s</w:t>
      </w:r>
      <w:r w:rsidRPr="00112B0E">
        <w:t xml:space="preserve">, to align the materiality concepts discussed in AICPA </w:t>
      </w:r>
      <w:r w:rsidRPr="00112B0E">
        <w:rPr>
          <w:i/>
          <w:iCs/>
        </w:rPr>
        <w:t>Professional Standards</w:t>
      </w:r>
      <w:r w:rsidRPr="00112B0E">
        <w:t xml:space="preserve"> wit</w:t>
      </w:r>
      <w:r w:rsidR="001A045D" w:rsidRPr="00112B0E">
        <w:t>h</w:t>
      </w:r>
      <w:r w:rsidRPr="00112B0E">
        <w:t xml:space="preserve"> the description of materiality used by the </w:t>
      </w:r>
      <w:r w:rsidR="005543E5" w:rsidRPr="00112B0E">
        <w:t>Public Company Accounting Oversight Board (</w:t>
      </w:r>
      <w:r w:rsidRPr="00112B0E">
        <w:t>PCAOB</w:t>
      </w:r>
      <w:r w:rsidR="005543E5" w:rsidRPr="00112B0E">
        <w:t>)</w:t>
      </w:r>
      <w:r w:rsidRPr="00112B0E">
        <w:t>, the</w:t>
      </w:r>
      <w:r w:rsidR="005543E5" w:rsidRPr="00112B0E">
        <w:t xml:space="preserve"> Securities Exchange Commission</w:t>
      </w:r>
      <w:r w:rsidRPr="00112B0E">
        <w:t xml:space="preserve"> </w:t>
      </w:r>
      <w:r w:rsidR="005543E5" w:rsidRPr="00112B0E">
        <w:t>(</w:t>
      </w:r>
      <w:r w:rsidRPr="00112B0E">
        <w:t>SEC</w:t>
      </w:r>
      <w:r w:rsidR="005543E5" w:rsidRPr="00112B0E">
        <w:t>)</w:t>
      </w:r>
      <w:r w:rsidRPr="00112B0E">
        <w:t xml:space="preserve">, and the </w:t>
      </w:r>
      <w:r w:rsidR="005543E5" w:rsidRPr="00112B0E">
        <w:t>Financial Accounting Standards Board (</w:t>
      </w:r>
      <w:r w:rsidRPr="00112B0E">
        <w:t>FASB</w:t>
      </w:r>
      <w:r w:rsidR="005543E5" w:rsidRPr="00112B0E">
        <w:t>)</w:t>
      </w:r>
      <w:r w:rsidRPr="00112B0E">
        <w:t xml:space="preserve">.  The </w:t>
      </w:r>
      <w:r w:rsidR="00B52367" w:rsidRPr="00112B0E">
        <w:t>F</w:t>
      </w:r>
      <w:r w:rsidRPr="00112B0E">
        <w:t>ASB believes it is in the public interest to eliminate inconsistencies between AICPA Professional Standards and the description of materiality used by the U.S. judicial system and other U.S. standard setters and regulators.</w:t>
      </w:r>
    </w:p>
    <w:p w14:paraId="29AC1E82" w14:textId="5019CC9E" w:rsidR="001A045D" w:rsidRPr="00112B0E" w:rsidRDefault="00264330" w:rsidP="001A045D">
      <w:r w:rsidRPr="00112B0E">
        <w:lastRenderedPageBreak/>
        <w:t>SAS 138 addresses</w:t>
      </w:r>
      <w:r w:rsidR="003C4CD8" w:rsidRPr="00112B0E">
        <w:rPr>
          <w:b/>
          <w:bCs/>
        </w:rPr>
        <w:t xml:space="preserve"> </w:t>
      </w:r>
      <w:r w:rsidR="003C4CD8" w:rsidRPr="00112B0E">
        <w:t xml:space="preserve">overall auditor’s responsibilities when conducting an audit of financial statements in accordance with </w:t>
      </w:r>
      <w:r w:rsidR="005543E5" w:rsidRPr="00112B0E">
        <w:t>Generally Accepted Auditing Standards (</w:t>
      </w:r>
      <w:r w:rsidR="003C4CD8" w:rsidRPr="00112B0E">
        <w:t>GAAS</w:t>
      </w:r>
      <w:r w:rsidR="005543E5" w:rsidRPr="00112B0E">
        <w:t>)</w:t>
      </w:r>
      <w:r w:rsidR="003C4CD8" w:rsidRPr="00112B0E">
        <w:t xml:space="preserve">.  </w:t>
      </w:r>
      <w:r w:rsidRPr="00112B0E">
        <w:t>It s</w:t>
      </w:r>
      <w:r w:rsidR="003C4CD8" w:rsidRPr="00112B0E">
        <w:t xml:space="preserve">ets out overall objectives </w:t>
      </w:r>
      <w:r w:rsidR="00B52367" w:rsidRPr="00112B0E">
        <w:t>for</w:t>
      </w:r>
      <w:r w:rsidR="003C4CD8" w:rsidRPr="00112B0E">
        <w:t xml:space="preserve"> the auditor and explains the nature and scope of an audit designed to meet those objectives.  </w:t>
      </w:r>
      <w:r w:rsidRPr="00112B0E">
        <w:t>It also e</w:t>
      </w:r>
      <w:r w:rsidR="003C4CD8" w:rsidRPr="00112B0E">
        <w:t>xplains</w:t>
      </w:r>
      <w:r w:rsidRPr="00112B0E">
        <w:t xml:space="preserve"> the</w:t>
      </w:r>
      <w:r w:rsidR="003C4CD8" w:rsidRPr="00112B0E">
        <w:t xml:space="preserve"> scope</w:t>
      </w:r>
      <w:r w:rsidRPr="00112B0E">
        <w:t>,</w:t>
      </w:r>
      <w:r w:rsidR="003C4CD8" w:rsidRPr="00112B0E">
        <w:t xml:space="preserve"> authority</w:t>
      </w:r>
      <w:r w:rsidRPr="00112B0E">
        <w:t>,</w:t>
      </w:r>
      <w:r w:rsidR="003C4CD8" w:rsidRPr="00112B0E">
        <w:t xml:space="preserve"> and structure of GAAS</w:t>
      </w:r>
      <w:r w:rsidR="00CE408D" w:rsidRPr="00112B0E">
        <w:t xml:space="preserve">.  </w:t>
      </w:r>
    </w:p>
    <w:p w14:paraId="3F52EB74" w14:textId="14218030" w:rsidR="003C4CD8" w:rsidRPr="00112B0E" w:rsidRDefault="00B52367" w:rsidP="001A045D">
      <w:r w:rsidRPr="00112B0E">
        <w:t>This SAS</w:t>
      </w:r>
      <w:r w:rsidR="00CE408D" w:rsidRPr="00112B0E">
        <w:rPr>
          <w:b/>
          <w:bCs/>
        </w:rPr>
        <w:t xml:space="preserve"> </w:t>
      </w:r>
      <w:r w:rsidR="00CE408D" w:rsidRPr="00112B0E">
        <w:t xml:space="preserve">addresses the auditor’s responsibility to apply the concept of materiality in planning and performing an audit.  </w:t>
      </w:r>
      <w:r w:rsidR="00264330" w:rsidRPr="00112B0E">
        <w:t>In addition, it</w:t>
      </w:r>
      <w:r w:rsidR="00CE408D" w:rsidRPr="00112B0E">
        <w:rPr>
          <w:b/>
          <w:bCs/>
        </w:rPr>
        <w:t xml:space="preserve"> </w:t>
      </w:r>
      <w:r w:rsidR="00CE408D" w:rsidRPr="00112B0E">
        <w:t xml:space="preserve">addresses the auditor’s responsibility to evaluate the effect of identified misstatements on the audit and the effect of uncorrected misstatements, if any, on the financial statements.  </w:t>
      </w:r>
    </w:p>
    <w:p w14:paraId="00DBE209" w14:textId="7F1CBEAC" w:rsidR="003C4CD8" w:rsidRPr="00112B0E" w:rsidRDefault="00264330" w:rsidP="001A045D">
      <w:r w:rsidRPr="00112B0E">
        <w:t xml:space="preserve">SAS 138 </w:t>
      </w:r>
      <w:r w:rsidR="00CE408D" w:rsidRPr="00112B0E">
        <w:t xml:space="preserve">addresses special considerations that apply to group audits, </w:t>
      </w:r>
      <w:proofErr w:type="gramStart"/>
      <w:r w:rsidR="00CE408D" w:rsidRPr="00112B0E">
        <w:t>in particular those</w:t>
      </w:r>
      <w:proofErr w:type="gramEnd"/>
      <w:r w:rsidR="00CE408D" w:rsidRPr="00112B0E">
        <w:t xml:space="preserve"> that involve component auditors.  </w:t>
      </w:r>
    </w:p>
    <w:p w14:paraId="6DC68DAC" w14:textId="09E6437D" w:rsidR="003C4CD8" w:rsidRPr="00112B0E" w:rsidRDefault="00CB6BE2" w:rsidP="001A045D">
      <w:pPr>
        <w:rPr>
          <w:b/>
          <w:bCs/>
        </w:rPr>
      </w:pPr>
      <w:r w:rsidRPr="00112B0E">
        <w:t xml:space="preserve">This </w:t>
      </w:r>
      <w:r w:rsidR="00264330" w:rsidRPr="00112B0E">
        <w:t>SAS</w:t>
      </w:r>
      <w:r w:rsidRPr="00112B0E">
        <w:t xml:space="preserve"> addresses the auditor’s responsibility to form an opinion on the financial statements.  It also addresses the form and content of the auditor’s report issued as a result of an audit of financial statements.  This applies to an audit of a complete set of </w:t>
      </w:r>
      <w:proofErr w:type="gramStart"/>
      <w:r w:rsidRPr="00112B0E">
        <w:t>general purpose</w:t>
      </w:r>
      <w:proofErr w:type="gramEnd"/>
      <w:r w:rsidRPr="00112B0E">
        <w:t xml:space="preserve"> financial statements and is written in that context.  The objectives of the auditor are to form an opinion on the financial statements based on an evaluation of the audit evidence and to express that opinion in a written report.</w:t>
      </w:r>
    </w:p>
    <w:p w14:paraId="025CDE08" w14:textId="2C85E406" w:rsidR="003C4CD8" w:rsidRPr="00112B0E" w:rsidRDefault="0037005C" w:rsidP="001A045D">
      <w:r w:rsidRPr="00112B0E">
        <w:t>Finally, SAS 138</w:t>
      </w:r>
      <w:r w:rsidR="00CB6BE2" w:rsidRPr="00112B0E">
        <w:rPr>
          <w:b/>
          <w:bCs/>
        </w:rPr>
        <w:t xml:space="preserve"> </w:t>
      </w:r>
      <w:r w:rsidRPr="00112B0E">
        <w:t>discusses</w:t>
      </w:r>
      <w:r w:rsidR="00CB6BE2" w:rsidRPr="00112B0E">
        <w:t xml:space="preserve"> the auditor’s responsibility to form an opinion on the financial statements of employee benefit plans (E</w:t>
      </w:r>
      <w:r w:rsidR="008124D4" w:rsidRPr="00112B0E">
        <w:t>BP</w:t>
      </w:r>
      <w:r w:rsidR="00CB6BE2" w:rsidRPr="00112B0E">
        <w:t xml:space="preserve">s) subject to the Employee Retirement Income Security Act of 1974 (ERISA).  </w:t>
      </w:r>
      <w:r w:rsidR="0036284A" w:rsidRPr="00112B0E">
        <w:t xml:space="preserve">It also addresses the form and content of the auditor’s report issued as a result of an audit of ERISA plan financial statements.  </w:t>
      </w:r>
    </w:p>
    <w:p w14:paraId="022EABE8" w14:textId="77777777" w:rsidR="000057DE" w:rsidRPr="00112B0E" w:rsidRDefault="000057DE" w:rsidP="000057DE">
      <w:pPr>
        <w:rPr>
          <w:i/>
          <w:iCs/>
        </w:rPr>
      </w:pPr>
      <w:bookmarkStart w:id="0" w:name="_Hlk87113866"/>
      <w:r w:rsidRPr="00112B0E">
        <w:rPr>
          <w:i/>
          <w:iCs/>
        </w:rPr>
        <w:t>Things to Consider: This SAS will have minimal impact to audit clients.  Its focus is primarily an auditor function.</w:t>
      </w:r>
    </w:p>
    <w:bookmarkEnd w:id="0"/>
    <w:p w14:paraId="155CF333" w14:textId="1F937446" w:rsidR="00031C45" w:rsidRPr="00112B0E" w:rsidRDefault="00031C45" w:rsidP="00031C45">
      <w:r w:rsidRPr="00112B0E">
        <w:rPr>
          <w:u w:val="single"/>
        </w:rPr>
        <w:t>SAS No. 139</w:t>
      </w:r>
      <w:r w:rsidRPr="00112B0E">
        <w:t xml:space="preserve"> – </w:t>
      </w:r>
      <w:r w:rsidRPr="00112B0E">
        <w:rPr>
          <w:b/>
          <w:bCs/>
        </w:rPr>
        <w:t xml:space="preserve">Amendments to AU-C Sections 800, 805, and 810 to Incorporate Auditor Reporting Changes </w:t>
      </w:r>
      <w:r w:rsidR="00876A3E" w:rsidRPr="00112B0E">
        <w:rPr>
          <w:b/>
          <w:bCs/>
        </w:rPr>
        <w:t>from</w:t>
      </w:r>
      <w:r w:rsidRPr="00112B0E">
        <w:rPr>
          <w:b/>
          <w:bCs/>
        </w:rPr>
        <w:t xml:space="preserve"> SAS No. 134</w:t>
      </w:r>
    </w:p>
    <w:p w14:paraId="29EAB901" w14:textId="2D109AA6" w:rsidR="00031C45" w:rsidRPr="00112B0E" w:rsidRDefault="006F3A24" w:rsidP="00876A3E">
      <w:r w:rsidRPr="00112B0E">
        <w:t xml:space="preserve">SAS No. 139 aligns AU-C sections 800, </w:t>
      </w:r>
      <w:r w:rsidRPr="00112B0E">
        <w:rPr>
          <w:i/>
          <w:iCs/>
        </w:rPr>
        <w:t>Special Considerations – Audits of Financial Statements Prepared in Accordance with Special Purpose Frameworks</w:t>
      </w:r>
      <w:r w:rsidRPr="00112B0E">
        <w:t xml:space="preserve">, 805, </w:t>
      </w:r>
      <w:r w:rsidRPr="00112B0E">
        <w:rPr>
          <w:i/>
          <w:iCs/>
        </w:rPr>
        <w:t xml:space="preserve">Special Considerations – Audits of Single Financial </w:t>
      </w:r>
      <w:r w:rsidR="008E7D66" w:rsidRPr="00112B0E">
        <w:rPr>
          <w:i/>
          <w:iCs/>
        </w:rPr>
        <w:t xml:space="preserve">Statements and Specific Elements, Accounts, or Items of a Financial Statement, </w:t>
      </w:r>
      <w:r w:rsidR="008E7D66" w:rsidRPr="00112B0E">
        <w:t xml:space="preserve">and 810, </w:t>
      </w:r>
      <w:r w:rsidR="008E7D66" w:rsidRPr="00112B0E">
        <w:rPr>
          <w:i/>
          <w:iCs/>
        </w:rPr>
        <w:t>Engagements to Report on Summary Financial Statements</w:t>
      </w:r>
      <w:r w:rsidR="008E7D66" w:rsidRPr="00112B0E">
        <w:t xml:space="preserve">, with the reporting provisions of SAS No. 134, </w:t>
      </w:r>
      <w:r w:rsidR="008E7D66" w:rsidRPr="00112B0E">
        <w:rPr>
          <w:i/>
          <w:iCs/>
        </w:rPr>
        <w:t>Auditor Reporting and Amendments, Including Amendments Addressing Disclosures in the Audit of Financial Statements</w:t>
      </w:r>
      <w:r w:rsidR="008E7D66" w:rsidRPr="00112B0E">
        <w:t>, and other recently issued SASs.  These revised auditor’s reports involving special purpose accounting frameworks and other unique reporting scenarios provide additional transparency into the basis for the auditor’s opinion and the responsibilities of both entity management and auditors.</w:t>
      </w:r>
    </w:p>
    <w:p w14:paraId="71098CBF" w14:textId="4EADE56B" w:rsidR="00244DE2" w:rsidRPr="00112B0E" w:rsidRDefault="00244DE2" w:rsidP="00876A3E">
      <w:r w:rsidRPr="00112B0E">
        <w:t>SAS 139 addresses special considerations in the application of AU-C sections 200 through 700 as applied to audits of financial statements.  These special considerations include issues that are relevant to the acceptance of the engagement, the planning and performance of the engagement, and forming an opinion and reporting on the financial statements.  SAS 139 does not purport to address all special considerations that may be relevant in the circumstance.</w:t>
      </w:r>
    </w:p>
    <w:p w14:paraId="07CE4DAB" w14:textId="4DB80E8C" w:rsidR="00244DE2" w:rsidRPr="00112B0E" w:rsidRDefault="00F22F30" w:rsidP="00876A3E">
      <w:r w:rsidRPr="00112B0E">
        <w:t>This SAS also addresses special considerations in the application of AU-C 200 through 700 to an audit of a single financial statement or a specific element, account, or item of a financial statement.  The special considerations addressed here are largely the same as those in the previous paragraph.</w:t>
      </w:r>
    </w:p>
    <w:p w14:paraId="23BBCB32" w14:textId="40B068C1" w:rsidR="00244DE2" w:rsidRPr="00112B0E" w:rsidRDefault="00EE4486" w:rsidP="00876A3E">
      <w:r w:rsidRPr="00112B0E">
        <w:lastRenderedPageBreak/>
        <w:t xml:space="preserve">SAS 139 also addresses the auditor’s responsibilities relating to an engagement to report separately on summary financial statements derived from financial statements audited in accordance with GAAS by the same auditor.  In such an engagement, the auditor forms an opinion about whether the summary financial statements are consistent, in all material respects, with the audited financial statements from which they have been derived.  This section does not apply to condensed financial statements or summarized financial information presented as comparative information.  </w:t>
      </w:r>
    </w:p>
    <w:p w14:paraId="71D3F866" w14:textId="77777777" w:rsidR="00652631" w:rsidRPr="00112B0E" w:rsidRDefault="00652631" w:rsidP="00652631">
      <w:pPr>
        <w:rPr>
          <w:i/>
          <w:iCs/>
        </w:rPr>
      </w:pPr>
      <w:r w:rsidRPr="00112B0E">
        <w:rPr>
          <w:i/>
          <w:iCs/>
        </w:rPr>
        <w:t>Things to Consider: This SAS will have minimal impact to audit clients.  Its focus is primarily an auditor function.</w:t>
      </w:r>
    </w:p>
    <w:p w14:paraId="0AE7A111" w14:textId="3839C73C" w:rsidR="008E7D66" w:rsidRPr="00112B0E" w:rsidRDefault="008E7D66" w:rsidP="008E7D66">
      <w:r w:rsidRPr="00112B0E">
        <w:rPr>
          <w:u w:val="single"/>
        </w:rPr>
        <w:t>SAS No. 140</w:t>
      </w:r>
      <w:r w:rsidRPr="00112B0E">
        <w:t xml:space="preserve"> – </w:t>
      </w:r>
      <w:r w:rsidRPr="00112B0E">
        <w:rPr>
          <w:b/>
          <w:bCs/>
        </w:rPr>
        <w:t>Amendments to AU-C Sections 725, 730, 930, 935, and 940 to Incorporate Auditor Reporting Changes from SAS Nos. 134 and 137</w:t>
      </w:r>
    </w:p>
    <w:p w14:paraId="27A925E6" w14:textId="150BE619" w:rsidR="00EE4486" w:rsidRPr="00112B0E" w:rsidRDefault="008E7D66" w:rsidP="00EE4486">
      <w:r w:rsidRPr="00112B0E">
        <w:t xml:space="preserve">SAS No. 140 completes the ASB’s yearlong effort to conform GAAS with the reporting provisions of SAS No. 134, </w:t>
      </w:r>
      <w:r w:rsidRPr="00112B0E">
        <w:rPr>
          <w:i/>
          <w:iCs/>
        </w:rPr>
        <w:t>Auditor Reporting and Amendments</w:t>
      </w:r>
      <w:r w:rsidR="00BD7598" w:rsidRPr="00112B0E">
        <w:rPr>
          <w:i/>
          <w:iCs/>
        </w:rPr>
        <w:t>, Including Amendments Addressing Disclosures in the Audit of Financial Statements</w:t>
      </w:r>
      <w:r w:rsidR="00BD7598" w:rsidRPr="00112B0E">
        <w:t xml:space="preserve">, and other recently issued SASs.  In addition, certain other AU-C sections in AICPA </w:t>
      </w:r>
      <w:r w:rsidR="00BD7598" w:rsidRPr="00112B0E">
        <w:rPr>
          <w:i/>
          <w:iCs/>
        </w:rPr>
        <w:t>Professional Standards</w:t>
      </w:r>
      <w:r w:rsidR="00BD7598" w:rsidRPr="00112B0E">
        <w:t xml:space="preserve"> have been amended to reflect practice issues that have arisen since the most recent revisions to these AU-C sections, and AU-C Section 935, </w:t>
      </w:r>
      <w:r w:rsidR="00BD7598" w:rsidRPr="00112B0E">
        <w:rPr>
          <w:i/>
          <w:iCs/>
        </w:rPr>
        <w:t>Compliance Audits</w:t>
      </w:r>
      <w:r w:rsidR="00BD7598" w:rsidRPr="00112B0E">
        <w:t>, has also been amended to be consistent with current governmental requirements.</w:t>
      </w:r>
    </w:p>
    <w:p w14:paraId="3846F36E" w14:textId="41E3F4AB" w:rsidR="00EE4486" w:rsidRPr="00112B0E" w:rsidRDefault="00925E3F" w:rsidP="00EE4486">
      <w:r w:rsidRPr="00112B0E">
        <w:t xml:space="preserve">SAS 140 addresses the auditor’s responsibility to report on whether supplementary information is fairly stated, in all material respects, in relation to the financial statements as a whole.  This report on supplementary information is not considered necessary for the financial statements to be fairly presented.  </w:t>
      </w:r>
    </w:p>
    <w:p w14:paraId="40BBCC13" w14:textId="10BD07E8" w:rsidR="00EE4486" w:rsidRPr="00112B0E" w:rsidRDefault="00925E3F" w:rsidP="00EE4486">
      <w:r w:rsidRPr="00112B0E">
        <w:t xml:space="preserve">Also addressed in this SAS is the auditor’s responsibility with respect to information that a designated accounting standard setter requires to accompany an entity’s basic financial statements.  </w:t>
      </w:r>
      <w:r w:rsidR="001778F6" w:rsidRPr="00112B0E">
        <w:t xml:space="preserve">In the absence of any separate requirement, the auditor’s opinion on the basic financial statements does not cover required supplementary information.  </w:t>
      </w:r>
    </w:p>
    <w:p w14:paraId="5CA09EBB" w14:textId="68929165" w:rsidR="00EE4486" w:rsidRPr="00112B0E" w:rsidRDefault="001778F6" w:rsidP="00EE4486">
      <w:r w:rsidRPr="00112B0E">
        <w:t>This SAS also discusses circumstances in which an auditor practicing in the United States is engaged to report on financial statements that have be</w:t>
      </w:r>
      <w:r w:rsidR="000D4A5E" w:rsidRPr="00112B0E">
        <w:t>e</w:t>
      </w:r>
      <w:r w:rsidRPr="00112B0E">
        <w:t xml:space="preserve">n prepared in accordance with a financial reporting framework generally accepted in another country, not adopted by an appropriate body in the United States, when such statements are intended for use outside the United States.  This SAS does not preclude the use of those statements within the United States.  </w:t>
      </w:r>
      <w:r w:rsidR="00224070" w:rsidRPr="00112B0E">
        <w:t>The objective of the auditor in this circumstance is to address the special considerations relevant to the acceptance of the engagement, the planning and performance of the engagement, and forming an opinion and reporting on the financial statements.</w:t>
      </w:r>
    </w:p>
    <w:p w14:paraId="44178626" w14:textId="03839A65" w:rsidR="00EE4486" w:rsidRPr="00112B0E" w:rsidRDefault="00224070" w:rsidP="00EE4486">
      <w:r w:rsidRPr="00112B0E">
        <w:t>SAS 140 also discusses comfort letters</w:t>
      </w:r>
      <w:r w:rsidR="00037531" w:rsidRPr="00112B0E">
        <w:t xml:space="preserve"> to specific parties</w:t>
      </w:r>
      <w:r w:rsidRPr="00112B0E">
        <w:t xml:space="preserve">.  </w:t>
      </w:r>
      <w:r w:rsidR="00037531" w:rsidRPr="00112B0E">
        <w:t>Auditors are not required by GAAS to accept an engagement to issue a comfort letter.  Comfort letters developed as a response to underwriters’ request for assurance of financial stability.  A comfort letter may include the independence of the auditor, whether the financial statements comply regarding form with the 1933 Act, unaudited financial statements, other financial information, and negative assurance about whether nonfinancial information complies with Regulation S-K.</w:t>
      </w:r>
    </w:p>
    <w:p w14:paraId="35EAE2BF" w14:textId="5049019D" w:rsidR="00EE4486" w:rsidRPr="00112B0E" w:rsidRDefault="00037531" w:rsidP="00EE4486">
      <w:r w:rsidRPr="00112B0E">
        <w:t xml:space="preserve">This SAS addresses the auditor’s responsibilities when engaged to review interim financial information under specific conditions.  </w:t>
      </w:r>
      <w:r w:rsidR="00CC7B35" w:rsidRPr="00112B0E">
        <w:t xml:space="preserve">The objective of the auditor in these circumstances is to review the interim </w:t>
      </w:r>
      <w:r w:rsidR="00CC7B35" w:rsidRPr="00112B0E">
        <w:lastRenderedPageBreak/>
        <w:t>financial information to determine whether any material modifications should be made to the interim financial information for it to be in accordance with the applicable framework.</w:t>
      </w:r>
    </w:p>
    <w:p w14:paraId="735C4D3A" w14:textId="08493CD2" w:rsidR="00EE4486" w:rsidRPr="00112B0E" w:rsidRDefault="00CC7B35" w:rsidP="00EE4486">
      <w:r w:rsidRPr="00112B0E">
        <w:t xml:space="preserve">Governments frequently establish governmental audit requirements for entities to undergo an audit of their compliance with applicable compliance requirements.  This SAS is applicable when an auditor is engaged to perform a compliance audit with GAAS, under </w:t>
      </w:r>
      <w:r w:rsidRPr="00112B0E">
        <w:rPr>
          <w:i/>
          <w:iCs/>
        </w:rPr>
        <w:t>Government Auditing Standards</w:t>
      </w:r>
      <w:r w:rsidR="000D2BA2" w:rsidRPr="00112B0E">
        <w:rPr>
          <w:i/>
          <w:iCs/>
        </w:rPr>
        <w:t xml:space="preserve"> </w:t>
      </w:r>
      <w:r w:rsidR="000D2BA2" w:rsidRPr="00112B0E">
        <w:t>(GAS)</w:t>
      </w:r>
      <w:r w:rsidRPr="00112B0E">
        <w:t xml:space="preserve">, and a governmental audit requiring an opinion on compliance.  </w:t>
      </w:r>
      <w:r w:rsidR="000D2BA2" w:rsidRPr="00112B0E">
        <w:t xml:space="preserve">The auditor’s objective here is to make a determination whether the entity materially complied with </w:t>
      </w:r>
      <w:proofErr w:type="gramStart"/>
      <w:r w:rsidR="000D2BA2" w:rsidRPr="00112B0E">
        <w:t>requirements</w:t>
      </w:r>
      <w:r w:rsidR="00D940ED" w:rsidRPr="00112B0E">
        <w:t>,</w:t>
      </w:r>
      <w:r w:rsidR="000D2BA2" w:rsidRPr="00112B0E">
        <w:t xml:space="preserve"> and</w:t>
      </w:r>
      <w:proofErr w:type="gramEnd"/>
      <w:r w:rsidR="000D2BA2" w:rsidRPr="00112B0E">
        <w:t xml:space="preserve"> identify requirements supplementary to GAAS and GAS</w:t>
      </w:r>
      <w:r w:rsidR="00D940ED" w:rsidRPr="00112B0E">
        <w:t xml:space="preserve"> and perform those requirements.</w:t>
      </w:r>
    </w:p>
    <w:p w14:paraId="3F6914D4" w14:textId="547C7D76" w:rsidR="00EE4486" w:rsidRPr="00112B0E" w:rsidRDefault="005A5BE1" w:rsidP="00EE4486">
      <w:r w:rsidRPr="00112B0E">
        <w:t xml:space="preserve">SAS 140 also establishes requirements and provides guidance that applies only when an auditor is engaged to perform an audit of internal control over financial reporting (ICFR) that is integrated with an audit of financial statements </w:t>
      </w:r>
      <w:r w:rsidRPr="00112B0E">
        <w:rPr>
          <w:i/>
          <w:iCs/>
        </w:rPr>
        <w:t>(integrated audit)</w:t>
      </w:r>
      <w:r w:rsidRPr="00112B0E">
        <w:t>.  GAAS can be adapted to apply to an audit of ICFR that is integrated with an audit of financial statements.  The auditor’s objectives here are to obtain reasonable assurance about whether a material weakness exists in the ICFR and express an opinion on the effectiveness of ICFR.</w:t>
      </w:r>
    </w:p>
    <w:p w14:paraId="6623EA7D" w14:textId="3107AC09" w:rsidR="008E7D66" w:rsidRPr="00112B0E" w:rsidRDefault="002F077F">
      <w:pPr>
        <w:rPr>
          <w:i/>
          <w:iCs/>
        </w:rPr>
      </w:pPr>
      <w:r w:rsidRPr="00112B0E">
        <w:rPr>
          <w:i/>
          <w:iCs/>
        </w:rPr>
        <w:t>Things to Consider: This SAS will have minimal impact to audit clients.  Its focus is primarily an auditor function.</w:t>
      </w:r>
    </w:p>
    <w:p w14:paraId="3CA160E7" w14:textId="260E246A" w:rsidR="00BD7598" w:rsidRPr="00112B0E" w:rsidRDefault="00BD7598" w:rsidP="00BD7598">
      <w:r w:rsidRPr="00112B0E">
        <w:rPr>
          <w:u w:val="single"/>
        </w:rPr>
        <w:t>SAS No. 141</w:t>
      </w:r>
      <w:r w:rsidRPr="00112B0E">
        <w:t xml:space="preserve"> – </w:t>
      </w:r>
      <w:r w:rsidRPr="00112B0E">
        <w:rPr>
          <w:b/>
          <w:bCs/>
        </w:rPr>
        <w:t xml:space="preserve">Amendments to the Effective Dates of SAS Nos. 134 – 140 </w:t>
      </w:r>
    </w:p>
    <w:p w14:paraId="160F6253" w14:textId="6363E097" w:rsidR="00BD7598" w:rsidRPr="00112B0E" w:rsidRDefault="00BD7598" w:rsidP="00BD7598">
      <w:pPr>
        <w:ind w:firstLine="720"/>
      </w:pPr>
      <w:r w:rsidRPr="00112B0E">
        <w:t xml:space="preserve">SAS No. 141 delays by one year the effective dates of SAS Nos. 134 – 140 (which, among other things, substantially changes the auditor’s report) from December 15, 2020 to December 15, 2021, </w:t>
      </w:r>
      <w:proofErr w:type="gramStart"/>
      <w:r w:rsidRPr="00112B0E">
        <w:t>and also</w:t>
      </w:r>
      <w:proofErr w:type="gramEnd"/>
      <w:r w:rsidRPr="00112B0E">
        <w:t xml:space="preserve"> permits early implementation of this suite of standards.</w:t>
      </w:r>
    </w:p>
    <w:p w14:paraId="09ABFFCA" w14:textId="00A60C87" w:rsidR="00B7667B" w:rsidRPr="00112B0E" w:rsidRDefault="00B7667B" w:rsidP="00B7667B">
      <w:pPr>
        <w:jc w:val="center"/>
      </w:pPr>
      <w:r w:rsidRPr="00112B0E">
        <w:t>______</w:t>
      </w:r>
    </w:p>
    <w:p w14:paraId="309FE4CF" w14:textId="0587D7D4" w:rsidR="00B7667B" w:rsidRPr="00112B0E" w:rsidRDefault="00B7667B" w:rsidP="00B7667B"/>
    <w:p w14:paraId="17C35BB1" w14:textId="2BF89296" w:rsidR="00BD7598" w:rsidRDefault="00B7667B">
      <w:r w:rsidRPr="00112B0E">
        <w:t>This new suite of standards issued by the AICPA provides a fresh updated approach to auditor reporting on financial statements.  Thanks to these updates financial statement users can look forward to greater understanding of the information provided to them by auditors and auditors can have confidence that the information they provide is more closely aligned with user needs.</w:t>
      </w:r>
      <w:r w:rsidR="00CD2B9D" w:rsidRPr="00112B0E">
        <w:t xml:space="preserve">  More SAS updates will be available soon.</w:t>
      </w:r>
    </w:p>
    <w:p w14:paraId="4306115F" w14:textId="77777777" w:rsidR="00CD2B9D" w:rsidRDefault="00CD2B9D"/>
    <w:sectPr w:rsidR="00CD2B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F7BEB" w14:textId="77777777" w:rsidR="00AB78D9" w:rsidRDefault="00AB78D9" w:rsidP="00DF4326">
      <w:pPr>
        <w:spacing w:after="0" w:line="240" w:lineRule="auto"/>
      </w:pPr>
      <w:r>
        <w:separator/>
      </w:r>
    </w:p>
  </w:endnote>
  <w:endnote w:type="continuationSeparator" w:id="0">
    <w:p w14:paraId="204E6707" w14:textId="77777777" w:rsidR="00AB78D9" w:rsidRDefault="00AB78D9" w:rsidP="00DF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1FEA6" w14:textId="77777777" w:rsidR="00AB78D9" w:rsidRDefault="00AB78D9" w:rsidP="00DF4326">
      <w:pPr>
        <w:spacing w:after="0" w:line="240" w:lineRule="auto"/>
      </w:pPr>
      <w:r>
        <w:separator/>
      </w:r>
    </w:p>
  </w:footnote>
  <w:footnote w:type="continuationSeparator" w:id="0">
    <w:p w14:paraId="00A32540" w14:textId="77777777" w:rsidR="00AB78D9" w:rsidRDefault="00AB78D9" w:rsidP="00DF4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7101"/>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B5A3C"/>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E0DC2"/>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5A009D"/>
    <w:multiLevelType w:val="hybridMultilevel"/>
    <w:tmpl w:val="6EF8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F2C0A"/>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1E6CD9"/>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8E56EB"/>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13338C"/>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F44F7C"/>
    <w:multiLevelType w:val="hybridMultilevel"/>
    <w:tmpl w:val="8B581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5"/>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26"/>
    <w:rsid w:val="000057DE"/>
    <w:rsid w:val="00031C45"/>
    <w:rsid w:val="00037531"/>
    <w:rsid w:val="000512D8"/>
    <w:rsid w:val="00061FFD"/>
    <w:rsid w:val="00082F2A"/>
    <w:rsid w:val="00084143"/>
    <w:rsid w:val="000A78DA"/>
    <w:rsid w:val="000D2BA2"/>
    <w:rsid w:val="000D4A5E"/>
    <w:rsid w:val="00112B0E"/>
    <w:rsid w:val="001516EA"/>
    <w:rsid w:val="00170AA1"/>
    <w:rsid w:val="00174702"/>
    <w:rsid w:val="001778F6"/>
    <w:rsid w:val="001A045D"/>
    <w:rsid w:val="001D6C3A"/>
    <w:rsid w:val="002060E9"/>
    <w:rsid w:val="00224070"/>
    <w:rsid w:val="00244DE2"/>
    <w:rsid w:val="00264330"/>
    <w:rsid w:val="00265EB4"/>
    <w:rsid w:val="00277120"/>
    <w:rsid w:val="002D09AA"/>
    <w:rsid w:val="002F077F"/>
    <w:rsid w:val="0030348C"/>
    <w:rsid w:val="0031724B"/>
    <w:rsid w:val="00320EAD"/>
    <w:rsid w:val="00325CCD"/>
    <w:rsid w:val="00344240"/>
    <w:rsid w:val="00346536"/>
    <w:rsid w:val="0036284A"/>
    <w:rsid w:val="0037005C"/>
    <w:rsid w:val="003C4CD8"/>
    <w:rsid w:val="00414FD4"/>
    <w:rsid w:val="00420305"/>
    <w:rsid w:val="00424CD7"/>
    <w:rsid w:val="00433D4D"/>
    <w:rsid w:val="00462613"/>
    <w:rsid w:val="004A77A9"/>
    <w:rsid w:val="004C0365"/>
    <w:rsid w:val="005428DC"/>
    <w:rsid w:val="005543E5"/>
    <w:rsid w:val="00556FBD"/>
    <w:rsid w:val="005972CB"/>
    <w:rsid w:val="005A5BE1"/>
    <w:rsid w:val="00622FF0"/>
    <w:rsid w:val="00626FBB"/>
    <w:rsid w:val="00652631"/>
    <w:rsid w:val="006F3A24"/>
    <w:rsid w:val="00713029"/>
    <w:rsid w:val="007B58FB"/>
    <w:rsid w:val="007B6F07"/>
    <w:rsid w:val="007F5072"/>
    <w:rsid w:val="008064F6"/>
    <w:rsid w:val="008106DD"/>
    <w:rsid w:val="008124D4"/>
    <w:rsid w:val="008334AA"/>
    <w:rsid w:val="00876A3E"/>
    <w:rsid w:val="00890C3D"/>
    <w:rsid w:val="008B5BD2"/>
    <w:rsid w:val="008C1562"/>
    <w:rsid w:val="008E60F1"/>
    <w:rsid w:val="008E7D66"/>
    <w:rsid w:val="00925E3F"/>
    <w:rsid w:val="009A5A26"/>
    <w:rsid w:val="009D16E4"/>
    <w:rsid w:val="00A579A2"/>
    <w:rsid w:val="00A6755D"/>
    <w:rsid w:val="00A7135E"/>
    <w:rsid w:val="00A935CA"/>
    <w:rsid w:val="00AB78D9"/>
    <w:rsid w:val="00B03F4E"/>
    <w:rsid w:val="00B52367"/>
    <w:rsid w:val="00B7667B"/>
    <w:rsid w:val="00BD346C"/>
    <w:rsid w:val="00BD7598"/>
    <w:rsid w:val="00C73F7C"/>
    <w:rsid w:val="00C96681"/>
    <w:rsid w:val="00CA08F7"/>
    <w:rsid w:val="00CB6BE2"/>
    <w:rsid w:val="00CC7B35"/>
    <w:rsid w:val="00CD2B9D"/>
    <w:rsid w:val="00CE408D"/>
    <w:rsid w:val="00CF3A9A"/>
    <w:rsid w:val="00D06B94"/>
    <w:rsid w:val="00D10921"/>
    <w:rsid w:val="00D34B76"/>
    <w:rsid w:val="00D44E47"/>
    <w:rsid w:val="00D940ED"/>
    <w:rsid w:val="00DF4326"/>
    <w:rsid w:val="00DF708C"/>
    <w:rsid w:val="00E4079C"/>
    <w:rsid w:val="00EE3211"/>
    <w:rsid w:val="00EE4486"/>
    <w:rsid w:val="00F13EB0"/>
    <w:rsid w:val="00F22F30"/>
    <w:rsid w:val="00F7270C"/>
    <w:rsid w:val="00FB16C1"/>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F11CB"/>
  <w15:chartTrackingRefBased/>
  <w15:docId w15:val="{AE064019-596B-4EC7-AB8D-572C0876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FF0"/>
    <w:pPr>
      <w:ind w:left="720"/>
      <w:contextualSpacing/>
    </w:pPr>
  </w:style>
  <w:style w:type="table" w:styleId="TableGrid">
    <w:name w:val="Table Grid"/>
    <w:basedOn w:val="TableNormal"/>
    <w:uiPriority w:val="39"/>
    <w:rsid w:val="0062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3E5"/>
    <w:rPr>
      <w:sz w:val="16"/>
      <w:szCs w:val="16"/>
    </w:rPr>
  </w:style>
  <w:style w:type="paragraph" w:styleId="CommentText">
    <w:name w:val="annotation text"/>
    <w:basedOn w:val="Normal"/>
    <w:link w:val="CommentTextChar"/>
    <w:uiPriority w:val="99"/>
    <w:semiHidden/>
    <w:unhideWhenUsed/>
    <w:rsid w:val="005543E5"/>
    <w:pPr>
      <w:spacing w:line="240" w:lineRule="auto"/>
    </w:pPr>
    <w:rPr>
      <w:sz w:val="20"/>
      <w:szCs w:val="20"/>
    </w:rPr>
  </w:style>
  <w:style w:type="character" w:customStyle="1" w:styleId="CommentTextChar">
    <w:name w:val="Comment Text Char"/>
    <w:basedOn w:val="DefaultParagraphFont"/>
    <w:link w:val="CommentText"/>
    <w:uiPriority w:val="99"/>
    <w:semiHidden/>
    <w:rsid w:val="005543E5"/>
    <w:rPr>
      <w:sz w:val="20"/>
      <w:szCs w:val="20"/>
    </w:rPr>
  </w:style>
  <w:style w:type="paragraph" w:styleId="CommentSubject">
    <w:name w:val="annotation subject"/>
    <w:basedOn w:val="CommentText"/>
    <w:next w:val="CommentText"/>
    <w:link w:val="CommentSubjectChar"/>
    <w:uiPriority w:val="99"/>
    <w:semiHidden/>
    <w:unhideWhenUsed/>
    <w:rsid w:val="005543E5"/>
    <w:rPr>
      <w:b/>
      <w:bCs/>
    </w:rPr>
  </w:style>
  <w:style w:type="character" w:customStyle="1" w:styleId="CommentSubjectChar">
    <w:name w:val="Comment Subject Char"/>
    <w:basedOn w:val="CommentTextChar"/>
    <w:link w:val="CommentSubject"/>
    <w:uiPriority w:val="99"/>
    <w:semiHidden/>
    <w:rsid w:val="00554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16354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Pearman</dc:creator>
  <cp:keywords/>
  <dc:description/>
  <cp:lastModifiedBy>Michele Nichols</cp:lastModifiedBy>
  <cp:revision>2</cp:revision>
  <dcterms:created xsi:type="dcterms:W3CDTF">2022-01-18T13:44:00Z</dcterms:created>
  <dcterms:modified xsi:type="dcterms:W3CDTF">2022-01-18T13:44:00Z</dcterms:modified>
</cp:coreProperties>
</file>