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C2A" w:rsidRDefault="00006C2A" w:rsidP="00AB0D1B">
      <w:pPr>
        <w:spacing w:after="0" w:line="240" w:lineRule="auto"/>
        <w:outlineLvl w:val="2"/>
        <w:rPr>
          <w:rFonts w:ascii="Arial" w:eastAsia="Times New Roman" w:hAnsi="Arial" w:cs="Arial"/>
          <w:b/>
          <w:bCs/>
          <w:color w:val="000000"/>
          <w:sz w:val="20"/>
          <w:szCs w:val="20"/>
          <w:bdr w:val="none" w:sz="0" w:space="0" w:color="auto" w:frame="1"/>
          <w:lang w:val="en"/>
        </w:rPr>
      </w:pPr>
      <w:r>
        <w:rPr>
          <w:rFonts w:ascii="Arial" w:eastAsia="Times New Roman" w:hAnsi="Arial" w:cs="Arial"/>
          <w:b/>
          <w:bCs/>
          <w:color w:val="000000"/>
          <w:sz w:val="20"/>
          <w:szCs w:val="20"/>
          <w:bdr w:val="none" w:sz="0" w:space="0" w:color="auto" w:frame="1"/>
          <w:lang w:val="en"/>
        </w:rPr>
        <w:t>Attachment C</w:t>
      </w:r>
    </w:p>
    <w:p w:rsidR="00006C2A" w:rsidRDefault="00006C2A" w:rsidP="00AB0D1B">
      <w:pPr>
        <w:spacing w:after="0" w:line="240" w:lineRule="auto"/>
        <w:outlineLvl w:val="2"/>
        <w:rPr>
          <w:rFonts w:ascii="Arial" w:eastAsia="Times New Roman" w:hAnsi="Arial" w:cs="Arial"/>
          <w:b/>
          <w:bCs/>
          <w:color w:val="000000"/>
          <w:sz w:val="20"/>
          <w:szCs w:val="20"/>
          <w:bdr w:val="none" w:sz="0" w:space="0" w:color="auto" w:frame="1"/>
          <w:lang w:val="en"/>
        </w:rPr>
      </w:pPr>
    </w:p>
    <w:p w:rsidR="00AB0D1B" w:rsidRPr="00AB0D1B" w:rsidRDefault="00AB0D1B" w:rsidP="00AB0D1B">
      <w:pPr>
        <w:spacing w:after="0" w:line="240" w:lineRule="auto"/>
        <w:outlineLvl w:val="2"/>
        <w:rPr>
          <w:rFonts w:ascii="Arial" w:eastAsia="Times New Roman" w:hAnsi="Arial" w:cs="Arial"/>
          <w:b/>
          <w:bCs/>
          <w:color w:val="000000"/>
          <w:sz w:val="24"/>
          <w:szCs w:val="24"/>
          <w:lang w:val="en"/>
        </w:rPr>
      </w:pPr>
      <w:r w:rsidRPr="00AB0D1B">
        <w:rPr>
          <w:rFonts w:ascii="Arial" w:eastAsia="Times New Roman" w:hAnsi="Arial" w:cs="Arial"/>
          <w:b/>
          <w:bCs/>
          <w:color w:val="000000"/>
          <w:sz w:val="20"/>
          <w:szCs w:val="20"/>
          <w:bdr w:val="none" w:sz="0" w:space="0" w:color="auto" w:frame="1"/>
          <w:lang w:val="en"/>
        </w:rPr>
        <w:t>01 Examples of a Compliance Audit</w:t>
      </w:r>
    </w:p>
    <w:p w:rsidR="00AB0D1B" w:rsidRPr="00AB0D1B" w:rsidRDefault="00AB0D1B" w:rsidP="00AB0D1B">
      <w:pPr>
        <w:spacing w:after="0" w:line="300" w:lineRule="atLeast"/>
        <w:ind w:left="72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Inquiry</w:t>
      </w:r>
      <w:r w:rsidRPr="00AB0D1B">
        <w:rPr>
          <w:rFonts w:ascii="Arial" w:eastAsia="Times New Roman" w:hAnsi="Arial" w:cs="Arial"/>
          <w:color w:val="000000"/>
          <w:sz w:val="20"/>
          <w:szCs w:val="20"/>
          <w:lang w:val="en"/>
        </w:rPr>
        <w:t xml:space="preserve"> — </w:t>
      </w:r>
      <w:proofErr w:type="gramStart"/>
      <w:r w:rsidRPr="00AB0D1B">
        <w:rPr>
          <w:rFonts w:ascii="Arial" w:eastAsia="Times New Roman" w:hAnsi="Arial" w:cs="Arial"/>
          <w:color w:val="000000"/>
          <w:sz w:val="20"/>
          <w:szCs w:val="20"/>
          <w:lang w:val="en"/>
        </w:rPr>
        <w:t>What</w:t>
      </w:r>
      <w:proofErr w:type="gramEnd"/>
      <w:r w:rsidRPr="00AB0D1B">
        <w:rPr>
          <w:rFonts w:ascii="Arial" w:eastAsia="Times New Roman" w:hAnsi="Arial" w:cs="Arial"/>
          <w:color w:val="000000"/>
          <w:sz w:val="20"/>
          <w:szCs w:val="20"/>
          <w:lang w:val="en"/>
        </w:rPr>
        <w:t xml:space="preserve"> are some examples of a </w:t>
      </w:r>
      <w:hyperlink r:id="rId4" w:history="1">
        <w:r w:rsidRPr="00AB0D1B">
          <w:rPr>
            <w:rFonts w:ascii="Arial" w:eastAsia="Times New Roman" w:hAnsi="Arial" w:cs="Arial"/>
            <w:i/>
            <w:iCs/>
            <w:color w:val="41B6E6"/>
            <w:sz w:val="20"/>
            <w:szCs w:val="20"/>
            <w:bdr w:val="none" w:sz="0" w:space="0" w:color="auto" w:frame="1"/>
            <w:lang w:val="en"/>
          </w:rPr>
          <w:t>compliance audit</w:t>
        </w:r>
      </w:hyperlink>
      <w:r w:rsidRPr="00AB0D1B">
        <w:rPr>
          <w:rFonts w:ascii="Arial" w:eastAsia="Times New Roman" w:hAnsi="Arial" w:cs="Arial"/>
          <w:color w:val="000000"/>
          <w:sz w:val="20"/>
          <w:szCs w:val="20"/>
          <w:lang w:val="en"/>
        </w:rPr>
        <w:t>?</w:t>
      </w:r>
    </w:p>
    <w:p w:rsidR="00AB0D1B" w:rsidRPr="00AB0D1B" w:rsidRDefault="00AB0D1B" w:rsidP="00AB0D1B">
      <w:pPr>
        <w:spacing w:after="0" w:line="300" w:lineRule="atLeast"/>
        <w:ind w:left="72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Reply</w:t>
      </w:r>
      <w:r w:rsidRPr="00AB0D1B">
        <w:rPr>
          <w:rFonts w:ascii="Arial" w:eastAsia="Times New Roman" w:hAnsi="Arial" w:cs="Arial"/>
          <w:color w:val="000000"/>
          <w:sz w:val="20"/>
          <w:szCs w:val="20"/>
          <w:lang w:val="en"/>
        </w:rPr>
        <w:t xml:space="preserve"> — </w:t>
      </w:r>
      <w:proofErr w:type="gramStart"/>
      <w:r w:rsidRPr="00AB0D1B">
        <w:rPr>
          <w:rFonts w:ascii="Arial" w:eastAsia="Times New Roman" w:hAnsi="Arial" w:cs="Arial"/>
          <w:color w:val="000000"/>
          <w:sz w:val="20"/>
          <w:szCs w:val="20"/>
          <w:lang w:val="en"/>
        </w:rPr>
        <w:t>A</w:t>
      </w:r>
      <w:proofErr w:type="gramEnd"/>
      <w:r w:rsidRPr="00AB0D1B">
        <w:rPr>
          <w:rFonts w:ascii="Arial" w:eastAsia="Times New Roman" w:hAnsi="Arial" w:cs="Arial"/>
          <w:color w:val="000000"/>
          <w:sz w:val="20"/>
          <w:szCs w:val="20"/>
          <w:lang w:val="en"/>
        </w:rPr>
        <w:t> </w:t>
      </w:r>
      <w:r w:rsidRPr="00AB0D1B">
        <w:rPr>
          <w:rFonts w:ascii="Arial" w:eastAsia="Times New Roman" w:hAnsi="Arial" w:cs="Arial"/>
          <w:i/>
          <w:iCs/>
          <w:color w:val="000000"/>
          <w:sz w:val="20"/>
          <w:szCs w:val="20"/>
          <w:bdr w:val="none" w:sz="0" w:space="0" w:color="auto" w:frame="1"/>
          <w:lang w:val="en"/>
        </w:rPr>
        <w:t>compliance audit</w:t>
      </w:r>
      <w:r w:rsidRPr="00AB0D1B">
        <w:rPr>
          <w:rFonts w:ascii="Arial" w:eastAsia="Times New Roman" w:hAnsi="Arial" w:cs="Arial"/>
          <w:color w:val="000000"/>
          <w:sz w:val="20"/>
          <w:szCs w:val="20"/>
          <w:lang w:val="en"/>
        </w:rPr>
        <w:t> is an </w:t>
      </w:r>
      <w:hyperlink r:id="rId5" w:history="1">
        <w:r w:rsidRPr="00AB0D1B">
          <w:rPr>
            <w:rFonts w:ascii="Arial" w:eastAsia="Times New Roman" w:hAnsi="Arial" w:cs="Arial"/>
            <w:i/>
            <w:iCs/>
            <w:color w:val="41B6E6"/>
            <w:sz w:val="20"/>
            <w:szCs w:val="20"/>
            <w:bdr w:val="none" w:sz="0" w:space="0" w:color="auto" w:frame="1"/>
            <w:lang w:val="en"/>
          </w:rPr>
          <w:t>attest engagement</w:t>
        </w:r>
      </w:hyperlink>
      <w:r w:rsidRPr="00AB0D1B">
        <w:rPr>
          <w:rFonts w:ascii="Arial" w:eastAsia="Times New Roman" w:hAnsi="Arial" w:cs="Arial"/>
          <w:color w:val="000000"/>
          <w:sz w:val="20"/>
          <w:szCs w:val="20"/>
          <w:lang w:val="en"/>
        </w:rPr>
        <w:t> performed in accordance with AU-C section 935, </w:t>
      </w:r>
      <w:r w:rsidRPr="00AB0D1B">
        <w:rPr>
          <w:rFonts w:ascii="Arial" w:eastAsia="Times New Roman" w:hAnsi="Arial" w:cs="Arial"/>
          <w:i/>
          <w:iCs/>
          <w:color w:val="000000"/>
          <w:sz w:val="20"/>
          <w:szCs w:val="20"/>
          <w:bdr w:val="none" w:sz="0" w:space="0" w:color="auto" w:frame="1"/>
          <w:lang w:val="en"/>
        </w:rPr>
        <w:t>Compliance Audits</w:t>
      </w:r>
      <w:r w:rsidRPr="00AB0D1B">
        <w:rPr>
          <w:rFonts w:ascii="Arial" w:eastAsia="Times New Roman" w:hAnsi="Arial" w:cs="Arial"/>
          <w:color w:val="000000"/>
          <w:sz w:val="20"/>
          <w:szCs w:val="20"/>
          <w:lang w:val="en"/>
        </w:rPr>
        <w:t>. </w:t>
      </w:r>
      <w:bookmarkStart w:id="0" w:name="et-qa10_fn1"/>
      <w:proofErr w:type="spellStart"/>
      <w:r w:rsidRPr="00AB0D1B">
        <w:rPr>
          <w:rFonts w:ascii="Arial" w:eastAsia="Times New Roman" w:hAnsi="Arial" w:cs="Arial"/>
          <w:color w:val="000000"/>
          <w:sz w:val="17"/>
          <w:szCs w:val="17"/>
          <w:bdr w:val="none" w:sz="0" w:space="0" w:color="auto" w:frame="1"/>
          <w:vertAlign w:val="superscript"/>
          <w:lang w:val="en"/>
        </w:rPr>
        <w:fldChar w:fldCharType="begin"/>
      </w:r>
      <w:r w:rsidRPr="00AB0D1B">
        <w:rPr>
          <w:rFonts w:ascii="Arial" w:eastAsia="Times New Roman" w:hAnsi="Arial" w:cs="Arial"/>
          <w:color w:val="000000"/>
          <w:sz w:val="17"/>
          <w:szCs w:val="17"/>
          <w:bdr w:val="none" w:sz="0" w:space="0" w:color="auto" w:frame="1"/>
          <w:vertAlign w:val="superscript"/>
          <w:lang w:val="en"/>
        </w:rPr>
        <w:instrText xml:space="preserve"> HYPERLINK "http://pub.aicpa.org/codeofconduct/resourceseamlesslogin.aspx?prod=ethics&amp;tdoc=et-qa&amp;tptr=ftn.et-qa10_fn1" </w:instrText>
      </w:r>
      <w:r w:rsidRPr="00AB0D1B">
        <w:rPr>
          <w:rFonts w:ascii="Arial" w:eastAsia="Times New Roman" w:hAnsi="Arial" w:cs="Arial"/>
          <w:color w:val="000000"/>
          <w:sz w:val="17"/>
          <w:szCs w:val="17"/>
          <w:bdr w:val="none" w:sz="0" w:space="0" w:color="auto" w:frame="1"/>
          <w:vertAlign w:val="superscript"/>
          <w:lang w:val="en"/>
        </w:rPr>
        <w:fldChar w:fldCharType="separate"/>
      </w:r>
      <w:r w:rsidRPr="00AB0D1B">
        <w:rPr>
          <w:rFonts w:ascii="Arial" w:eastAsia="Times New Roman" w:hAnsi="Arial" w:cs="Arial"/>
          <w:color w:val="FF0000"/>
          <w:sz w:val="17"/>
          <w:szCs w:val="17"/>
          <w:bdr w:val="none" w:sz="0" w:space="0" w:color="auto" w:frame="1"/>
          <w:vertAlign w:val="superscript"/>
          <w:lang w:val="en"/>
        </w:rPr>
        <w:t>fn</w:t>
      </w:r>
      <w:proofErr w:type="spellEnd"/>
      <w:r w:rsidRPr="00AB0D1B">
        <w:rPr>
          <w:rFonts w:ascii="Arial" w:eastAsia="Times New Roman" w:hAnsi="Arial" w:cs="Arial"/>
          <w:color w:val="FF0000"/>
          <w:sz w:val="17"/>
          <w:szCs w:val="17"/>
          <w:bdr w:val="none" w:sz="0" w:space="0" w:color="auto" w:frame="1"/>
          <w:vertAlign w:val="superscript"/>
          <w:lang w:val="en"/>
        </w:rPr>
        <w:t xml:space="preserve"> 1</w:t>
      </w:r>
      <w:r w:rsidRPr="00AB0D1B">
        <w:rPr>
          <w:rFonts w:ascii="Arial" w:eastAsia="Times New Roman" w:hAnsi="Arial" w:cs="Arial"/>
          <w:color w:val="000000"/>
          <w:sz w:val="17"/>
          <w:szCs w:val="17"/>
          <w:bdr w:val="none" w:sz="0" w:space="0" w:color="auto" w:frame="1"/>
          <w:vertAlign w:val="superscript"/>
          <w:lang w:val="en"/>
        </w:rPr>
        <w:fldChar w:fldCharType="end"/>
      </w:r>
      <w:bookmarkEnd w:id="0"/>
      <w:r w:rsidRPr="00AB0D1B">
        <w:rPr>
          <w:rFonts w:ascii="Arial" w:eastAsia="Times New Roman" w:hAnsi="Arial" w:cs="Arial"/>
          <w:color w:val="000000"/>
          <w:sz w:val="20"/>
          <w:szCs w:val="20"/>
          <w:lang w:val="en"/>
        </w:rPr>
        <w:t> When a </w:t>
      </w:r>
      <w:r w:rsidRPr="00AB0D1B">
        <w:rPr>
          <w:rFonts w:ascii="Arial" w:eastAsia="Times New Roman" w:hAnsi="Arial" w:cs="Arial"/>
          <w:i/>
          <w:iCs/>
          <w:color w:val="000000"/>
          <w:sz w:val="20"/>
          <w:szCs w:val="20"/>
          <w:bdr w:val="none" w:sz="0" w:space="0" w:color="auto" w:frame="1"/>
          <w:lang w:val="en"/>
        </w:rPr>
        <w:t>compliance audit</w:t>
      </w:r>
      <w:r w:rsidRPr="00AB0D1B">
        <w:rPr>
          <w:rFonts w:ascii="Arial" w:eastAsia="Times New Roman" w:hAnsi="Arial" w:cs="Arial"/>
          <w:color w:val="000000"/>
          <w:sz w:val="20"/>
          <w:szCs w:val="20"/>
          <w:lang w:val="en"/>
        </w:rPr>
        <w:t> performed in accordance with AU-C section 935 also includes separate reporting under AU-C section 725, </w:t>
      </w:r>
      <w:r w:rsidRPr="00AB0D1B">
        <w:rPr>
          <w:rFonts w:ascii="Arial" w:eastAsia="Times New Roman" w:hAnsi="Arial" w:cs="Arial"/>
          <w:i/>
          <w:iCs/>
          <w:color w:val="000000"/>
          <w:sz w:val="20"/>
          <w:szCs w:val="20"/>
          <w:bdr w:val="none" w:sz="0" w:space="0" w:color="auto" w:frame="1"/>
          <w:lang w:val="en"/>
        </w:rPr>
        <w:t>Supplementary Information in Relation to the Financial Statements as a Whole</w:t>
      </w:r>
      <w:r w:rsidRPr="00AB0D1B">
        <w:rPr>
          <w:rFonts w:ascii="Arial" w:eastAsia="Times New Roman" w:hAnsi="Arial" w:cs="Arial"/>
          <w:color w:val="000000"/>
          <w:sz w:val="20"/>
          <w:szCs w:val="20"/>
          <w:lang w:val="en"/>
        </w:rPr>
        <w:t>, or AU-C section 805, </w:t>
      </w:r>
      <w:r w:rsidRPr="00AB0D1B">
        <w:rPr>
          <w:rFonts w:ascii="Arial" w:eastAsia="Times New Roman" w:hAnsi="Arial" w:cs="Arial"/>
          <w:i/>
          <w:iCs/>
          <w:color w:val="000000"/>
          <w:sz w:val="20"/>
          <w:szCs w:val="20"/>
          <w:bdr w:val="none" w:sz="0" w:space="0" w:color="auto" w:frame="1"/>
          <w:lang w:val="en"/>
        </w:rPr>
        <w:t>Special Considerations — Audits of Single Financial Statements and Specific Elements, Accounts, or Items of a Financial Statement</w:t>
      </w:r>
      <w:r w:rsidRPr="00AB0D1B">
        <w:rPr>
          <w:rFonts w:ascii="Arial" w:eastAsia="Times New Roman" w:hAnsi="Arial" w:cs="Arial"/>
          <w:color w:val="000000"/>
          <w:sz w:val="20"/>
          <w:szCs w:val="20"/>
          <w:lang w:val="en"/>
        </w:rPr>
        <w:t>, this definition also extends to the audit of the schedule or statement that will accompany the AU-C section 935 report. Examples of </w:t>
      </w:r>
      <w:r w:rsidRPr="00AB0D1B">
        <w:rPr>
          <w:rFonts w:ascii="Arial" w:eastAsia="Times New Roman" w:hAnsi="Arial" w:cs="Arial"/>
          <w:i/>
          <w:iCs/>
          <w:color w:val="000000"/>
          <w:sz w:val="20"/>
          <w:szCs w:val="20"/>
          <w:bdr w:val="none" w:sz="0" w:space="0" w:color="auto" w:frame="1"/>
          <w:lang w:val="en"/>
        </w:rPr>
        <w:t>compliance audits</w:t>
      </w:r>
      <w:r w:rsidRPr="00AB0D1B">
        <w:rPr>
          <w:rFonts w:ascii="Arial" w:eastAsia="Times New Roman" w:hAnsi="Arial" w:cs="Arial"/>
          <w:color w:val="000000"/>
          <w:sz w:val="20"/>
          <w:szCs w:val="20"/>
          <w:lang w:val="en"/>
        </w:rPr>
        <w:t> may include the following:</w:t>
      </w:r>
    </w:p>
    <w:p w:rsidR="00AB0D1B" w:rsidRPr="00AB0D1B" w:rsidRDefault="00AB0D1B" w:rsidP="00AB0D1B">
      <w:pPr>
        <w:spacing w:after="0" w:line="300" w:lineRule="atLeast"/>
        <w:ind w:left="1440" w:hanging="36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a.</w:t>
      </w:r>
      <w:r w:rsidRPr="00AB0D1B">
        <w:rPr>
          <w:rFonts w:ascii="Arial" w:eastAsia="Times New Roman" w:hAnsi="Arial" w:cs="Arial"/>
          <w:color w:val="000000"/>
          <w:sz w:val="20"/>
          <w:szCs w:val="20"/>
          <w:bdr w:val="none" w:sz="0" w:space="0" w:color="auto" w:frame="1"/>
          <w:lang w:val="en"/>
        </w:rPr>
        <w:t>    </w:t>
      </w:r>
      <w:r w:rsidRPr="00AB0D1B">
        <w:rPr>
          <w:rFonts w:ascii="Arial" w:eastAsia="Times New Roman" w:hAnsi="Arial" w:cs="Arial"/>
          <w:i/>
          <w:iCs/>
          <w:color w:val="000000"/>
          <w:sz w:val="20"/>
          <w:szCs w:val="20"/>
          <w:bdr w:val="none" w:sz="0" w:space="0" w:color="auto" w:frame="1"/>
          <w:lang w:val="en"/>
        </w:rPr>
        <w:t>Compliance audits</w:t>
      </w:r>
      <w:r w:rsidRPr="00AB0D1B">
        <w:rPr>
          <w:rFonts w:ascii="Arial" w:eastAsia="Times New Roman" w:hAnsi="Arial" w:cs="Arial"/>
          <w:color w:val="000000"/>
          <w:sz w:val="20"/>
          <w:szCs w:val="20"/>
          <w:lang w:val="en"/>
        </w:rPr>
        <w:t> performed in accordance with the U.S. Department of Housing and Urban Development </w:t>
      </w:r>
      <w:r w:rsidRPr="00AB0D1B">
        <w:rPr>
          <w:rFonts w:ascii="Arial" w:eastAsia="Times New Roman" w:hAnsi="Arial" w:cs="Arial"/>
          <w:i/>
          <w:iCs/>
          <w:color w:val="000000"/>
          <w:sz w:val="20"/>
          <w:szCs w:val="20"/>
          <w:bdr w:val="none" w:sz="0" w:space="0" w:color="auto" w:frame="1"/>
          <w:lang w:val="en"/>
        </w:rPr>
        <w:t>Consolidated Audit Guide</w:t>
      </w:r>
    </w:p>
    <w:p w:rsidR="00AB0D1B" w:rsidRPr="00AB0D1B" w:rsidRDefault="00AB0D1B" w:rsidP="00AB0D1B">
      <w:pPr>
        <w:spacing w:after="0" w:line="300" w:lineRule="atLeast"/>
        <w:ind w:left="1440" w:hanging="36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b.</w:t>
      </w:r>
      <w:r w:rsidRPr="00AB0D1B">
        <w:rPr>
          <w:rFonts w:ascii="Arial" w:eastAsia="Times New Roman" w:hAnsi="Arial" w:cs="Arial"/>
          <w:color w:val="000000"/>
          <w:sz w:val="20"/>
          <w:szCs w:val="20"/>
          <w:bdr w:val="none" w:sz="0" w:space="0" w:color="auto" w:frame="1"/>
          <w:lang w:val="en"/>
        </w:rPr>
        <w:t>    </w:t>
      </w:r>
      <w:r w:rsidRPr="00AB0D1B">
        <w:rPr>
          <w:rFonts w:ascii="Arial" w:eastAsia="Times New Roman" w:hAnsi="Arial" w:cs="Arial"/>
          <w:i/>
          <w:iCs/>
          <w:color w:val="000000"/>
          <w:sz w:val="20"/>
          <w:szCs w:val="20"/>
          <w:bdr w:val="none" w:sz="0" w:space="0" w:color="auto" w:frame="1"/>
          <w:lang w:val="en"/>
        </w:rPr>
        <w:t>Compliance audits</w:t>
      </w:r>
      <w:r w:rsidRPr="00AB0D1B">
        <w:rPr>
          <w:rFonts w:ascii="Arial" w:eastAsia="Times New Roman" w:hAnsi="Arial" w:cs="Arial"/>
          <w:color w:val="000000"/>
          <w:sz w:val="20"/>
          <w:szCs w:val="20"/>
          <w:lang w:val="en"/>
        </w:rPr>
        <w:t xml:space="preserve"> subject to the U.S. Department of Education Office of Inspector </w:t>
      </w:r>
      <w:bookmarkStart w:id="1" w:name="_GoBack"/>
      <w:bookmarkEnd w:id="1"/>
      <w:r w:rsidRPr="00AB0D1B">
        <w:rPr>
          <w:rFonts w:ascii="Arial" w:eastAsia="Times New Roman" w:hAnsi="Arial" w:cs="Arial"/>
          <w:color w:val="000000"/>
          <w:sz w:val="20"/>
          <w:szCs w:val="20"/>
          <w:lang w:val="en"/>
        </w:rPr>
        <w:t>General’s </w:t>
      </w:r>
      <w:r w:rsidRPr="00AB0D1B">
        <w:rPr>
          <w:rFonts w:ascii="Arial" w:eastAsia="Times New Roman" w:hAnsi="Arial" w:cs="Arial"/>
          <w:i/>
          <w:iCs/>
          <w:color w:val="000000"/>
          <w:sz w:val="20"/>
          <w:szCs w:val="20"/>
          <w:bdr w:val="none" w:sz="0" w:space="0" w:color="auto" w:frame="1"/>
          <w:lang w:val="en"/>
        </w:rPr>
        <w:t>Guide for Audits of Proprietary Schools and for Compliance Attest Engagements of Third-Party Services Administering Title IV Programs</w:t>
      </w:r>
    </w:p>
    <w:p w:rsidR="00AB0D1B" w:rsidRPr="00AB0D1B" w:rsidRDefault="00AB0D1B" w:rsidP="00AB0D1B">
      <w:pPr>
        <w:spacing w:after="0" w:line="300" w:lineRule="atLeast"/>
        <w:ind w:left="1440" w:hanging="36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c.</w:t>
      </w:r>
      <w:r w:rsidRPr="00AB0D1B">
        <w:rPr>
          <w:rFonts w:ascii="Arial" w:eastAsia="Times New Roman" w:hAnsi="Arial" w:cs="Arial"/>
          <w:color w:val="000000"/>
          <w:sz w:val="20"/>
          <w:szCs w:val="20"/>
          <w:bdr w:val="none" w:sz="0" w:space="0" w:color="auto" w:frame="1"/>
          <w:lang w:val="en"/>
        </w:rPr>
        <w:t>    </w:t>
      </w:r>
      <w:r w:rsidRPr="00AB0D1B">
        <w:rPr>
          <w:rFonts w:ascii="Arial" w:eastAsia="Times New Roman" w:hAnsi="Arial" w:cs="Arial"/>
          <w:i/>
          <w:iCs/>
          <w:color w:val="000000"/>
          <w:sz w:val="20"/>
          <w:szCs w:val="20"/>
          <w:bdr w:val="none" w:sz="0" w:space="0" w:color="auto" w:frame="1"/>
          <w:lang w:val="en"/>
        </w:rPr>
        <w:t>Compliance audits</w:t>
      </w:r>
      <w:r w:rsidRPr="00AB0D1B">
        <w:rPr>
          <w:rFonts w:ascii="Arial" w:eastAsia="Times New Roman" w:hAnsi="Arial" w:cs="Arial"/>
          <w:color w:val="000000"/>
          <w:sz w:val="20"/>
          <w:szCs w:val="20"/>
          <w:lang w:val="en"/>
        </w:rPr>
        <w:t> performed under Title 2 U.S. </w:t>
      </w:r>
      <w:r w:rsidRPr="00AB0D1B">
        <w:rPr>
          <w:rFonts w:ascii="Arial" w:eastAsia="Times New Roman" w:hAnsi="Arial" w:cs="Arial"/>
          <w:i/>
          <w:iCs/>
          <w:color w:val="000000"/>
          <w:sz w:val="20"/>
          <w:szCs w:val="20"/>
          <w:bdr w:val="none" w:sz="0" w:space="0" w:color="auto" w:frame="1"/>
          <w:lang w:val="en"/>
        </w:rPr>
        <w:t>Code of Federal Regulations</w:t>
      </w:r>
      <w:r w:rsidRPr="00AB0D1B">
        <w:rPr>
          <w:rFonts w:ascii="Arial" w:eastAsia="Times New Roman" w:hAnsi="Arial" w:cs="Arial"/>
          <w:color w:val="000000"/>
          <w:sz w:val="20"/>
          <w:szCs w:val="20"/>
          <w:lang w:val="en"/>
        </w:rPr>
        <w:t> Part 200, </w:t>
      </w:r>
      <w:r w:rsidRPr="00AB0D1B">
        <w:rPr>
          <w:rFonts w:ascii="Arial" w:eastAsia="Times New Roman" w:hAnsi="Arial" w:cs="Arial"/>
          <w:i/>
          <w:iCs/>
          <w:color w:val="000000"/>
          <w:sz w:val="20"/>
          <w:szCs w:val="20"/>
          <w:bdr w:val="none" w:sz="0" w:space="0" w:color="auto" w:frame="1"/>
          <w:lang w:val="en"/>
        </w:rPr>
        <w:t>Uniform Administrative Requirements, Cost Principles, and Audit Requirements for Federal Awards</w:t>
      </w:r>
      <w:r w:rsidRPr="00AB0D1B">
        <w:rPr>
          <w:rFonts w:ascii="Arial" w:eastAsia="Times New Roman" w:hAnsi="Arial" w:cs="Arial"/>
          <w:color w:val="000000"/>
          <w:sz w:val="20"/>
          <w:szCs w:val="20"/>
          <w:lang w:val="en"/>
        </w:rPr>
        <w:t> (Uniform Guidance), including program-specific audits</w:t>
      </w:r>
    </w:p>
    <w:p w:rsidR="00AB0D1B" w:rsidRPr="00AB0D1B" w:rsidRDefault="00AB0D1B" w:rsidP="00AB0D1B">
      <w:pPr>
        <w:spacing w:after="0" w:line="300" w:lineRule="atLeast"/>
        <w:ind w:left="720"/>
        <w:rPr>
          <w:rFonts w:ascii="Arial" w:eastAsia="Times New Roman" w:hAnsi="Arial" w:cs="Arial"/>
          <w:color w:val="000000"/>
          <w:sz w:val="20"/>
          <w:szCs w:val="20"/>
          <w:lang w:val="en"/>
        </w:rPr>
      </w:pPr>
      <w:r w:rsidRPr="00AB0D1B">
        <w:rPr>
          <w:rFonts w:ascii="Arial" w:eastAsia="Times New Roman" w:hAnsi="Arial" w:cs="Arial"/>
          <w:color w:val="000000"/>
          <w:sz w:val="20"/>
          <w:szCs w:val="20"/>
          <w:lang w:val="en"/>
        </w:rPr>
        <w:t>When the </w:t>
      </w:r>
      <w:r w:rsidRPr="00AB0D1B">
        <w:rPr>
          <w:rFonts w:ascii="Arial" w:eastAsia="Times New Roman" w:hAnsi="Arial" w:cs="Arial"/>
          <w:i/>
          <w:iCs/>
          <w:color w:val="000000"/>
          <w:sz w:val="20"/>
          <w:szCs w:val="20"/>
          <w:bdr w:val="none" w:sz="0" w:space="0" w:color="auto" w:frame="1"/>
          <w:lang w:val="en"/>
        </w:rPr>
        <w:t>attest engagement</w:t>
      </w:r>
      <w:r w:rsidRPr="00AB0D1B">
        <w:rPr>
          <w:rFonts w:ascii="Arial" w:eastAsia="Times New Roman" w:hAnsi="Arial" w:cs="Arial"/>
          <w:color w:val="000000"/>
          <w:sz w:val="20"/>
          <w:szCs w:val="20"/>
          <w:lang w:val="en"/>
        </w:rPr>
        <w:t> is not performed in accordance with AU-C section 935, the engagement does not meet the definition of a </w:t>
      </w:r>
      <w:r w:rsidRPr="00AB0D1B">
        <w:rPr>
          <w:rFonts w:ascii="Arial" w:eastAsia="Times New Roman" w:hAnsi="Arial" w:cs="Arial"/>
          <w:i/>
          <w:iCs/>
          <w:color w:val="000000"/>
          <w:sz w:val="20"/>
          <w:szCs w:val="20"/>
          <w:bdr w:val="none" w:sz="0" w:space="0" w:color="auto" w:frame="1"/>
          <w:lang w:val="en"/>
        </w:rPr>
        <w:t>compliance audit</w:t>
      </w:r>
      <w:r w:rsidRPr="00AB0D1B">
        <w:rPr>
          <w:rFonts w:ascii="Arial" w:eastAsia="Times New Roman" w:hAnsi="Arial" w:cs="Arial"/>
          <w:color w:val="000000"/>
          <w:sz w:val="20"/>
          <w:szCs w:val="20"/>
          <w:lang w:val="en"/>
        </w:rPr>
        <w:t>. Examples of engagements that are not </w:t>
      </w:r>
      <w:r w:rsidRPr="00AB0D1B">
        <w:rPr>
          <w:rFonts w:ascii="Arial" w:eastAsia="Times New Roman" w:hAnsi="Arial" w:cs="Arial"/>
          <w:i/>
          <w:iCs/>
          <w:color w:val="000000"/>
          <w:sz w:val="20"/>
          <w:szCs w:val="20"/>
          <w:bdr w:val="none" w:sz="0" w:space="0" w:color="auto" w:frame="1"/>
          <w:lang w:val="en"/>
        </w:rPr>
        <w:t>compliance audits</w:t>
      </w:r>
      <w:r w:rsidRPr="00AB0D1B">
        <w:rPr>
          <w:rFonts w:ascii="Arial" w:eastAsia="Times New Roman" w:hAnsi="Arial" w:cs="Arial"/>
          <w:color w:val="000000"/>
          <w:sz w:val="20"/>
          <w:szCs w:val="20"/>
          <w:lang w:val="en"/>
        </w:rPr>
        <w:t> include the following:</w:t>
      </w:r>
    </w:p>
    <w:p w:rsidR="00AB0D1B" w:rsidRPr="00AB0D1B" w:rsidRDefault="00AB0D1B" w:rsidP="00AB0D1B">
      <w:pPr>
        <w:spacing w:after="0" w:line="300" w:lineRule="atLeast"/>
        <w:ind w:left="1440" w:hanging="36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a.</w:t>
      </w:r>
      <w:r w:rsidRPr="00AB0D1B">
        <w:rPr>
          <w:rFonts w:ascii="Arial" w:eastAsia="Times New Roman" w:hAnsi="Arial" w:cs="Arial"/>
          <w:color w:val="000000"/>
          <w:sz w:val="20"/>
          <w:szCs w:val="20"/>
          <w:bdr w:val="none" w:sz="0" w:space="0" w:color="auto" w:frame="1"/>
          <w:lang w:val="en"/>
        </w:rPr>
        <w:t>    </w:t>
      </w:r>
      <w:r w:rsidRPr="00AB0D1B">
        <w:rPr>
          <w:rFonts w:ascii="Arial" w:eastAsia="Times New Roman" w:hAnsi="Arial" w:cs="Arial"/>
          <w:color w:val="000000"/>
          <w:sz w:val="20"/>
          <w:szCs w:val="20"/>
          <w:lang w:val="en"/>
        </w:rPr>
        <w:t>Engagements performed in accordance with the Statements on Standards for Attestation Engagements (SSAEs) (For these engagements, the </w:t>
      </w:r>
      <w:hyperlink r:id="rId6" w:history="1">
        <w:r w:rsidRPr="00AB0D1B">
          <w:rPr>
            <w:rFonts w:ascii="Arial" w:eastAsia="Times New Roman" w:hAnsi="Arial" w:cs="Arial"/>
            <w:i/>
            <w:iCs/>
            <w:color w:val="41B6E6"/>
            <w:sz w:val="20"/>
            <w:szCs w:val="20"/>
            <w:bdr w:val="none" w:sz="0" w:space="0" w:color="auto" w:frame="1"/>
            <w:lang w:val="en"/>
          </w:rPr>
          <w:t>member</w:t>
        </w:r>
      </w:hyperlink>
      <w:r w:rsidRPr="00AB0D1B">
        <w:rPr>
          <w:rFonts w:ascii="Arial" w:eastAsia="Times New Roman" w:hAnsi="Arial" w:cs="Arial"/>
          <w:color w:val="000000"/>
          <w:sz w:val="20"/>
          <w:szCs w:val="20"/>
          <w:lang w:val="en"/>
        </w:rPr>
        <w:t> should refer to the requirements in the “</w:t>
      </w:r>
      <w:hyperlink r:id="rId7" w:history="1">
        <w:r w:rsidRPr="00AB0D1B">
          <w:rPr>
            <w:rFonts w:ascii="Arial" w:eastAsia="Times New Roman" w:hAnsi="Arial" w:cs="Arial"/>
            <w:color w:val="41B6E6"/>
            <w:sz w:val="20"/>
            <w:szCs w:val="20"/>
            <w:bdr w:val="none" w:sz="0" w:space="0" w:color="auto" w:frame="1"/>
            <w:lang w:val="en"/>
          </w:rPr>
          <w:t>Independence Standards for Engagements Performed in Accordance With Statements on Standards for Attestation Engagements</w:t>
        </w:r>
      </w:hyperlink>
      <w:r w:rsidRPr="00AB0D1B">
        <w:rPr>
          <w:rFonts w:ascii="Arial" w:eastAsia="Times New Roman" w:hAnsi="Arial" w:cs="Arial"/>
          <w:color w:val="000000"/>
          <w:sz w:val="20"/>
          <w:szCs w:val="20"/>
          <w:lang w:val="en"/>
        </w:rPr>
        <w:t>” subtopic [ET sec. 1.297] under the “Independence Rule” [ET sec. 1.200.001].)</w:t>
      </w:r>
    </w:p>
    <w:p w:rsidR="00AB0D1B" w:rsidRPr="00AB0D1B" w:rsidRDefault="00AB0D1B" w:rsidP="00AB0D1B">
      <w:pPr>
        <w:spacing w:after="0" w:line="300" w:lineRule="atLeast"/>
        <w:ind w:left="1440" w:hanging="36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b.</w:t>
      </w:r>
      <w:r w:rsidRPr="00AB0D1B">
        <w:rPr>
          <w:rFonts w:ascii="Arial" w:eastAsia="Times New Roman" w:hAnsi="Arial" w:cs="Arial"/>
          <w:color w:val="000000"/>
          <w:sz w:val="20"/>
          <w:szCs w:val="20"/>
          <w:bdr w:val="none" w:sz="0" w:space="0" w:color="auto" w:frame="1"/>
          <w:lang w:val="en"/>
        </w:rPr>
        <w:t>    </w:t>
      </w:r>
      <w:hyperlink r:id="rId8" w:history="1">
        <w:r w:rsidRPr="00AB0D1B">
          <w:rPr>
            <w:rFonts w:ascii="Arial" w:eastAsia="Times New Roman" w:hAnsi="Arial" w:cs="Arial"/>
            <w:i/>
            <w:iCs/>
            <w:color w:val="41B6E6"/>
            <w:sz w:val="20"/>
            <w:szCs w:val="20"/>
            <w:bdr w:val="none" w:sz="0" w:space="0" w:color="auto" w:frame="1"/>
            <w:lang w:val="en"/>
          </w:rPr>
          <w:t>Financial statement </w:t>
        </w:r>
      </w:hyperlink>
      <w:hyperlink r:id="rId9" w:history="1">
        <w:r w:rsidRPr="00AB0D1B">
          <w:rPr>
            <w:rFonts w:ascii="Arial" w:eastAsia="Times New Roman" w:hAnsi="Arial" w:cs="Arial"/>
            <w:i/>
            <w:iCs/>
            <w:color w:val="41B6E6"/>
            <w:sz w:val="20"/>
            <w:szCs w:val="20"/>
            <w:bdr w:val="none" w:sz="0" w:space="0" w:color="auto" w:frame="1"/>
            <w:lang w:val="en"/>
          </w:rPr>
          <w:t>attest engagements</w:t>
        </w:r>
      </w:hyperlink>
    </w:p>
    <w:p w:rsidR="00AB0D1B" w:rsidRPr="00AB0D1B" w:rsidRDefault="00AB0D1B" w:rsidP="00AB0D1B">
      <w:pPr>
        <w:spacing w:after="0" w:line="300" w:lineRule="atLeast"/>
        <w:ind w:left="1440" w:hanging="36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c.</w:t>
      </w:r>
      <w:r w:rsidRPr="00AB0D1B">
        <w:rPr>
          <w:rFonts w:ascii="Arial" w:eastAsia="Times New Roman" w:hAnsi="Arial" w:cs="Arial"/>
          <w:color w:val="000000"/>
          <w:sz w:val="20"/>
          <w:szCs w:val="20"/>
          <w:bdr w:val="none" w:sz="0" w:space="0" w:color="auto" w:frame="1"/>
          <w:lang w:val="en"/>
        </w:rPr>
        <w:t>    </w:t>
      </w:r>
      <w:r w:rsidRPr="00AB0D1B">
        <w:rPr>
          <w:rFonts w:ascii="Arial" w:eastAsia="Times New Roman" w:hAnsi="Arial" w:cs="Arial"/>
          <w:color w:val="000000"/>
          <w:sz w:val="20"/>
          <w:szCs w:val="20"/>
          <w:lang w:val="en"/>
        </w:rPr>
        <w:t>Audits performed in accordance with AU-C section 725 or 805, when such audits are not performed in conjunction with an AU-C section 935 compliance audit</w:t>
      </w:r>
    </w:p>
    <w:p w:rsidR="00AB0D1B" w:rsidRPr="00AB0D1B" w:rsidRDefault="00AB0D1B" w:rsidP="00AB0D1B">
      <w:pPr>
        <w:spacing w:after="0" w:line="300" w:lineRule="atLeast"/>
        <w:ind w:left="1440" w:hanging="36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d.</w:t>
      </w:r>
      <w:r w:rsidRPr="00AB0D1B">
        <w:rPr>
          <w:rFonts w:ascii="Arial" w:eastAsia="Times New Roman" w:hAnsi="Arial" w:cs="Arial"/>
          <w:color w:val="000000"/>
          <w:sz w:val="20"/>
          <w:szCs w:val="20"/>
          <w:bdr w:val="none" w:sz="0" w:space="0" w:color="auto" w:frame="1"/>
          <w:lang w:val="en"/>
        </w:rPr>
        <w:t>    </w:t>
      </w:r>
      <w:r w:rsidRPr="00AB0D1B">
        <w:rPr>
          <w:rFonts w:ascii="Arial" w:eastAsia="Times New Roman" w:hAnsi="Arial" w:cs="Arial"/>
          <w:color w:val="000000"/>
          <w:sz w:val="20"/>
          <w:szCs w:val="20"/>
          <w:lang w:val="en"/>
        </w:rPr>
        <w:t>Compliance attest engagements subject to the U.S. Department of Education Office of Inspector General’s </w:t>
      </w:r>
      <w:r w:rsidRPr="00AB0D1B">
        <w:rPr>
          <w:rFonts w:ascii="Arial" w:eastAsia="Times New Roman" w:hAnsi="Arial" w:cs="Arial"/>
          <w:i/>
          <w:iCs/>
          <w:color w:val="000000"/>
          <w:sz w:val="20"/>
          <w:szCs w:val="20"/>
          <w:bdr w:val="none" w:sz="0" w:space="0" w:color="auto" w:frame="1"/>
          <w:lang w:val="en"/>
        </w:rPr>
        <w:t>Guide for Audits of Proprietary Schools and for Compliance Attest Engagements of Third-Party Services Administering Title IV Programs</w:t>
      </w:r>
      <w:r w:rsidRPr="00AB0D1B">
        <w:rPr>
          <w:rFonts w:ascii="Arial" w:eastAsia="Times New Roman" w:hAnsi="Arial" w:cs="Arial"/>
          <w:color w:val="000000"/>
          <w:sz w:val="20"/>
          <w:szCs w:val="20"/>
          <w:lang w:val="en"/>
        </w:rPr>
        <w:t> performed in accordance with the SSAEs</w:t>
      </w:r>
    </w:p>
    <w:p w:rsidR="00AB0D1B" w:rsidRPr="00AB0D1B" w:rsidRDefault="00AB0D1B" w:rsidP="00AB0D1B">
      <w:pPr>
        <w:spacing w:before="120" w:after="120" w:line="300" w:lineRule="atLeast"/>
        <w:jc w:val="center"/>
        <w:rPr>
          <w:rFonts w:ascii="Arial" w:eastAsia="Times New Roman" w:hAnsi="Arial" w:cs="Arial"/>
          <w:color w:val="000000"/>
          <w:sz w:val="20"/>
          <w:szCs w:val="20"/>
          <w:lang w:val="en"/>
        </w:rPr>
      </w:pPr>
      <w:r w:rsidRPr="00AB0D1B">
        <w:rPr>
          <w:rFonts w:ascii="Arial" w:eastAsia="Times New Roman" w:hAnsi="Arial" w:cs="Arial"/>
          <w:color w:val="000000"/>
          <w:sz w:val="20"/>
          <w:szCs w:val="20"/>
          <w:lang w:val="en"/>
        </w:rPr>
        <w:t>[Issue Date: December 2022.]</w:t>
      </w:r>
    </w:p>
    <w:p w:rsidR="00AB0D1B" w:rsidRPr="00AB0D1B" w:rsidRDefault="00AB0D1B" w:rsidP="00AB0D1B">
      <w:pPr>
        <w:spacing w:after="0" w:line="240" w:lineRule="auto"/>
        <w:outlineLvl w:val="2"/>
        <w:rPr>
          <w:rFonts w:ascii="Arial" w:eastAsia="Times New Roman" w:hAnsi="Arial" w:cs="Arial"/>
          <w:b/>
          <w:bCs/>
          <w:color w:val="000000"/>
          <w:sz w:val="24"/>
          <w:szCs w:val="24"/>
          <w:lang w:val="en"/>
        </w:rPr>
      </w:pPr>
      <w:bookmarkStart w:id="2" w:name="et-qa10.02"/>
      <w:bookmarkEnd w:id="2"/>
      <w:r w:rsidRPr="00AB0D1B">
        <w:rPr>
          <w:rFonts w:ascii="Arial" w:eastAsia="Times New Roman" w:hAnsi="Arial" w:cs="Arial"/>
          <w:b/>
          <w:bCs/>
          <w:color w:val="000000"/>
          <w:sz w:val="20"/>
          <w:szCs w:val="20"/>
          <w:bdr w:val="none" w:sz="0" w:space="0" w:color="auto" w:frame="1"/>
          <w:lang w:val="en"/>
        </w:rPr>
        <w:t>.02 Multiple Compliance Audit Clients</w:t>
      </w:r>
    </w:p>
    <w:p w:rsidR="00AB0D1B" w:rsidRPr="00AB0D1B" w:rsidRDefault="00AB0D1B" w:rsidP="00AB0D1B">
      <w:pPr>
        <w:spacing w:after="0" w:line="300" w:lineRule="atLeast"/>
        <w:ind w:left="72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Inquiry</w:t>
      </w:r>
      <w:r w:rsidRPr="00AB0D1B">
        <w:rPr>
          <w:rFonts w:ascii="Arial" w:eastAsia="Times New Roman" w:hAnsi="Arial" w:cs="Arial"/>
          <w:color w:val="000000"/>
          <w:sz w:val="20"/>
          <w:szCs w:val="20"/>
          <w:lang w:val="en"/>
        </w:rPr>
        <w:t xml:space="preserve"> — </w:t>
      </w:r>
      <w:proofErr w:type="gramStart"/>
      <w:r w:rsidRPr="00AB0D1B">
        <w:rPr>
          <w:rFonts w:ascii="Arial" w:eastAsia="Times New Roman" w:hAnsi="Arial" w:cs="Arial"/>
          <w:color w:val="000000"/>
          <w:sz w:val="20"/>
          <w:szCs w:val="20"/>
          <w:lang w:val="en"/>
        </w:rPr>
        <w:t>When</w:t>
      </w:r>
      <w:proofErr w:type="gramEnd"/>
      <w:r w:rsidRPr="00AB0D1B">
        <w:rPr>
          <w:rFonts w:ascii="Arial" w:eastAsia="Times New Roman" w:hAnsi="Arial" w:cs="Arial"/>
          <w:color w:val="000000"/>
          <w:sz w:val="20"/>
          <w:szCs w:val="20"/>
          <w:lang w:val="en"/>
        </w:rPr>
        <w:t xml:space="preserve"> could there be multiple </w:t>
      </w:r>
      <w:hyperlink r:id="rId10" w:history="1">
        <w:r w:rsidRPr="00AB0D1B">
          <w:rPr>
            <w:rFonts w:ascii="Arial" w:eastAsia="Times New Roman" w:hAnsi="Arial" w:cs="Arial"/>
            <w:i/>
            <w:iCs/>
            <w:color w:val="41B6E6"/>
            <w:sz w:val="20"/>
            <w:szCs w:val="20"/>
            <w:bdr w:val="none" w:sz="0" w:space="0" w:color="auto" w:frame="1"/>
            <w:lang w:val="en"/>
          </w:rPr>
          <w:t>compliance audit clients</w:t>
        </w:r>
      </w:hyperlink>
      <w:r w:rsidRPr="00AB0D1B">
        <w:rPr>
          <w:rFonts w:ascii="Arial" w:eastAsia="Times New Roman" w:hAnsi="Arial" w:cs="Arial"/>
          <w:color w:val="000000"/>
          <w:sz w:val="20"/>
          <w:szCs w:val="20"/>
          <w:lang w:val="en"/>
        </w:rPr>
        <w:t> in a </w:t>
      </w:r>
      <w:hyperlink r:id="rId11" w:history="1">
        <w:r w:rsidRPr="00AB0D1B">
          <w:rPr>
            <w:rFonts w:ascii="Arial" w:eastAsia="Times New Roman" w:hAnsi="Arial" w:cs="Arial"/>
            <w:i/>
            <w:iCs/>
            <w:color w:val="41B6E6"/>
            <w:sz w:val="20"/>
            <w:szCs w:val="20"/>
            <w:bdr w:val="none" w:sz="0" w:space="0" w:color="auto" w:frame="1"/>
            <w:lang w:val="en"/>
          </w:rPr>
          <w:t>compliance audit</w:t>
        </w:r>
      </w:hyperlink>
      <w:r w:rsidRPr="00AB0D1B">
        <w:rPr>
          <w:rFonts w:ascii="Arial" w:eastAsia="Times New Roman" w:hAnsi="Arial" w:cs="Arial"/>
          <w:color w:val="000000"/>
          <w:sz w:val="20"/>
          <w:szCs w:val="20"/>
          <w:lang w:val="en"/>
        </w:rPr>
        <w:t>?</w:t>
      </w:r>
    </w:p>
    <w:p w:rsidR="00AB0D1B" w:rsidRPr="00AB0D1B" w:rsidRDefault="00AB0D1B" w:rsidP="00AB0D1B">
      <w:pPr>
        <w:spacing w:after="0" w:line="300" w:lineRule="atLeast"/>
        <w:ind w:left="72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Reply</w:t>
      </w:r>
      <w:r w:rsidRPr="00AB0D1B">
        <w:rPr>
          <w:rFonts w:ascii="Arial" w:eastAsia="Times New Roman" w:hAnsi="Arial" w:cs="Arial"/>
          <w:color w:val="000000"/>
          <w:sz w:val="20"/>
          <w:szCs w:val="20"/>
          <w:lang w:val="en"/>
        </w:rPr>
        <w:t> — When a </w:t>
      </w:r>
      <w:r w:rsidRPr="00AB0D1B">
        <w:rPr>
          <w:rFonts w:ascii="Arial" w:eastAsia="Times New Roman" w:hAnsi="Arial" w:cs="Arial"/>
          <w:i/>
          <w:iCs/>
          <w:color w:val="000000"/>
          <w:sz w:val="20"/>
          <w:szCs w:val="20"/>
          <w:bdr w:val="none" w:sz="0" w:space="0" w:color="auto" w:frame="1"/>
          <w:lang w:val="en"/>
        </w:rPr>
        <w:t>compliance audit</w:t>
      </w:r>
      <w:r w:rsidRPr="00AB0D1B">
        <w:rPr>
          <w:rFonts w:ascii="Arial" w:eastAsia="Times New Roman" w:hAnsi="Arial" w:cs="Arial"/>
          <w:color w:val="000000"/>
          <w:sz w:val="20"/>
          <w:szCs w:val="20"/>
          <w:lang w:val="en"/>
        </w:rPr>
        <w:t> includes amounts from multiple entities in a schedule or statement, each entity is considered a </w:t>
      </w:r>
      <w:r w:rsidRPr="00AB0D1B">
        <w:rPr>
          <w:rFonts w:ascii="Arial" w:eastAsia="Times New Roman" w:hAnsi="Arial" w:cs="Arial"/>
          <w:i/>
          <w:iCs/>
          <w:color w:val="000000"/>
          <w:sz w:val="20"/>
          <w:szCs w:val="20"/>
          <w:bdr w:val="none" w:sz="0" w:space="0" w:color="auto" w:frame="1"/>
          <w:lang w:val="en"/>
        </w:rPr>
        <w:t>compliance audit client</w:t>
      </w:r>
      <w:r w:rsidRPr="00AB0D1B">
        <w:rPr>
          <w:rFonts w:ascii="Arial" w:eastAsia="Times New Roman" w:hAnsi="Arial" w:cs="Arial"/>
          <w:color w:val="000000"/>
          <w:sz w:val="20"/>
          <w:szCs w:val="20"/>
          <w:lang w:val="en"/>
        </w:rPr>
        <w:t> unless the entity is not subject to compliance audit procedures and also includes amounts in the schedule or statement that are trivial and clearly inconsequential to the schedule or statement as a whole, as described in the definition of </w:t>
      </w:r>
      <w:r w:rsidRPr="00AB0D1B">
        <w:rPr>
          <w:rFonts w:ascii="Arial" w:eastAsia="Times New Roman" w:hAnsi="Arial" w:cs="Arial"/>
          <w:i/>
          <w:iCs/>
          <w:color w:val="000000"/>
          <w:sz w:val="20"/>
          <w:szCs w:val="20"/>
          <w:bdr w:val="none" w:sz="0" w:space="0" w:color="auto" w:frame="1"/>
          <w:lang w:val="en"/>
        </w:rPr>
        <w:t>compliance audit client</w:t>
      </w:r>
      <w:r w:rsidRPr="00AB0D1B">
        <w:rPr>
          <w:rFonts w:ascii="Arial" w:eastAsia="Times New Roman" w:hAnsi="Arial" w:cs="Arial"/>
          <w:color w:val="000000"/>
          <w:sz w:val="20"/>
          <w:szCs w:val="20"/>
          <w:lang w:val="en"/>
        </w:rPr>
        <w:t>.</w:t>
      </w:r>
    </w:p>
    <w:p w:rsidR="00AB0D1B" w:rsidRPr="00AB0D1B" w:rsidRDefault="00AB0D1B" w:rsidP="00AB0D1B">
      <w:pPr>
        <w:spacing w:after="0" w:line="300" w:lineRule="atLeast"/>
        <w:ind w:left="720"/>
        <w:rPr>
          <w:rFonts w:ascii="Arial" w:eastAsia="Times New Roman" w:hAnsi="Arial" w:cs="Arial"/>
          <w:color w:val="000000"/>
          <w:sz w:val="20"/>
          <w:szCs w:val="20"/>
          <w:lang w:val="en"/>
        </w:rPr>
      </w:pPr>
      <w:r w:rsidRPr="00AB0D1B">
        <w:rPr>
          <w:rFonts w:ascii="Arial" w:eastAsia="Times New Roman" w:hAnsi="Arial" w:cs="Arial"/>
          <w:color w:val="000000"/>
          <w:sz w:val="20"/>
          <w:szCs w:val="20"/>
          <w:lang w:val="en"/>
        </w:rPr>
        <w:lastRenderedPageBreak/>
        <w:t>For example, in a </w:t>
      </w:r>
      <w:r w:rsidRPr="00AB0D1B">
        <w:rPr>
          <w:rFonts w:ascii="Arial" w:eastAsia="Times New Roman" w:hAnsi="Arial" w:cs="Arial"/>
          <w:i/>
          <w:iCs/>
          <w:color w:val="000000"/>
          <w:sz w:val="20"/>
          <w:szCs w:val="20"/>
          <w:bdr w:val="none" w:sz="0" w:space="0" w:color="auto" w:frame="1"/>
          <w:lang w:val="en"/>
        </w:rPr>
        <w:t>compliance audit</w:t>
      </w:r>
      <w:r w:rsidRPr="00AB0D1B">
        <w:rPr>
          <w:rFonts w:ascii="Arial" w:eastAsia="Times New Roman" w:hAnsi="Arial" w:cs="Arial"/>
          <w:color w:val="000000"/>
          <w:sz w:val="20"/>
          <w:szCs w:val="20"/>
          <w:lang w:val="en"/>
        </w:rPr>
        <w:t> for a state and local government performed in accordance with the Uniform Guidance, multiple agencies, departments, or component units within the state and local government may include amounts in the schedule of expenditures of federal awards (SEFA). Each entity reporting amounts in the reporting entity’s SEFA is a </w:t>
      </w:r>
      <w:r w:rsidRPr="00AB0D1B">
        <w:rPr>
          <w:rFonts w:ascii="Arial" w:eastAsia="Times New Roman" w:hAnsi="Arial" w:cs="Arial"/>
          <w:i/>
          <w:iCs/>
          <w:color w:val="000000"/>
          <w:sz w:val="20"/>
          <w:szCs w:val="20"/>
          <w:bdr w:val="none" w:sz="0" w:space="0" w:color="auto" w:frame="1"/>
          <w:lang w:val="en"/>
        </w:rPr>
        <w:t>compliance audit client</w:t>
      </w:r>
      <w:r w:rsidRPr="00AB0D1B">
        <w:rPr>
          <w:rFonts w:ascii="Arial" w:eastAsia="Times New Roman" w:hAnsi="Arial" w:cs="Arial"/>
          <w:color w:val="000000"/>
          <w:sz w:val="20"/>
          <w:szCs w:val="20"/>
          <w:lang w:val="en"/>
        </w:rPr>
        <w:t> unless it is not subject to compliance audit procedures and also includes amounts in the schedule or statement that are trivial and clearly inconsequential to the schedule or statement as a whole.</w:t>
      </w:r>
    </w:p>
    <w:p w:rsidR="00AB0D1B" w:rsidRPr="00AB0D1B" w:rsidRDefault="00AB0D1B" w:rsidP="00AB0D1B">
      <w:pPr>
        <w:spacing w:before="120" w:after="120" w:line="300" w:lineRule="atLeast"/>
        <w:jc w:val="center"/>
        <w:rPr>
          <w:rFonts w:ascii="Arial" w:eastAsia="Times New Roman" w:hAnsi="Arial" w:cs="Arial"/>
          <w:color w:val="000000"/>
          <w:sz w:val="20"/>
          <w:szCs w:val="20"/>
          <w:lang w:val="en"/>
        </w:rPr>
      </w:pPr>
      <w:r w:rsidRPr="00AB0D1B">
        <w:rPr>
          <w:rFonts w:ascii="Arial" w:eastAsia="Times New Roman" w:hAnsi="Arial" w:cs="Arial"/>
          <w:color w:val="000000"/>
          <w:sz w:val="20"/>
          <w:szCs w:val="20"/>
          <w:lang w:val="en"/>
        </w:rPr>
        <w:t>[Issue Date: December 2022.]</w:t>
      </w:r>
    </w:p>
    <w:p w:rsidR="00AB0D1B" w:rsidRPr="00AB0D1B" w:rsidRDefault="00AB0D1B" w:rsidP="00AB0D1B">
      <w:pPr>
        <w:spacing w:after="0" w:line="240" w:lineRule="auto"/>
        <w:outlineLvl w:val="2"/>
        <w:rPr>
          <w:rFonts w:ascii="Arial" w:eastAsia="Times New Roman" w:hAnsi="Arial" w:cs="Arial"/>
          <w:b/>
          <w:bCs/>
          <w:color w:val="000000"/>
          <w:sz w:val="24"/>
          <w:szCs w:val="24"/>
          <w:lang w:val="en"/>
        </w:rPr>
      </w:pPr>
      <w:bookmarkStart w:id="3" w:name="et-qa10.03"/>
      <w:bookmarkEnd w:id="3"/>
      <w:r w:rsidRPr="00AB0D1B">
        <w:rPr>
          <w:rFonts w:ascii="Arial" w:eastAsia="Times New Roman" w:hAnsi="Arial" w:cs="Arial"/>
          <w:b/>
          <w:bCs/>
          <w:color w:val="000000"/>
          <w:sz w:val="20"/>
          <w:szCs w:val="20"/>
          <w:bdr w:val="none" w:sz="0" w:space="0" w:color="auto" w:frame="1"/>
          <w:lang w:val="en"/>
        </w:rPr>
        <w:t>.03 Trivial and Clearly Inconsequential</w:t>
      </w:r>
    </w:p>
    <w:p w:rsidR="00AB0D1B" w:rsidRPr="00AB0D1B" w:rsidRDefault="00AB0D1B" w:rsidP="00AB0D1B">
      <w:pPr>
        <w:spacing w:after="0" w:line="300" w:lineRule="atLeast"/>
        <w:ind w:left="72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Inquiry</w:t>
      </w:r>
      <w:r w:rsidRPr="00AB0D1B">
        <w:rPr>
          <w:rFonts w:ascii="Arial" w:eastAsia="Times New Roman" w:hAnsi="Arial" w:cs="Arial"/>
          <w:color w:val="000000"/>
          <w:sz w:val="20"/>
          <w:szCs w:val="20"/>
          <w:lang w:val="en"/>
        </w:rPr>
        <w:t> — How should a </w:t>
      </w:r>
      <w:hyperlink r:id="rId12" w:history="1">
        <w:r w:rsidRPr="00AB0D1B">
          <w:rPr>
            <w:rFonts w:ascii="Arial" w:eastAsia="Times New Roman" w:hAnsi="Arial" w:cs="Arial"/>
            <w:i/>
            <w:iCs/>
            <w:color w:val="41B6E6"/>
            <w:sz w:val="20"/>
            <w:szCs w:val="20"/>
            <w:bdr w:val="none" w:sz="0" w:space="0" w:color="auto" w:frame="1"/>
            <w:lang w:val="en"/>
          </w:rPr>
          <w:t>member</w:t>
        </w:r>
      </w:hyperlink>
      <w:r w:rsidRPr="00AB0D1B">
        <w:rPr>
          <w:rFonts w:ascii="Arial" w:eastAsia="Times New Roman" w:hAnsi="Arial" w:cs="Arial"/>
          <w:color w:val="000000"/>
          <w:sz w:val="20"/>
          <w:szCs w:val="20"/>
          <w:lang w:val="en"/>
        </w:rPr>
        <w:t> determine what is “trivial and clearly inconsequential” when identifying the </w:t>
      </w:r>
      <w:hyperlink r:id="rId13" w:history="1">
        <w:r w:rsidRPr="00AB0D1B">
          <w:rPr>
            <w:rFonts w:ascii="Arial" w:eastAsia="Times New Roman" w:hAnsi="Arial" w:cs="Arial"/>
            <w:i/>
            <w:iCs/>
            <w:color w:val="41B6E6"/>
            <w:sz w:val="20"/>
            <w:szCs w:val="20"/>
            <w:bdr w:val="none" w:sz="0" w:space="0" w:color="auto" w:frame="1"/>
            <w:lang w:val="en"/>
          </w:rPr>
          <w:t>compliance audit client</w:t>
        </w:r>
      </w:hyperlink>
      <w:r w:rsidRPr="00AB0D1B">
        <w:rPr>
          <w:rFonts w:ascii="Arial" w:eastAsia="Times New Roman" w:hAnsi="Arial" w:cs="Arial"/>
          <w:color w:val="000000"/>
          <w:sz w:val="20"/>
          <w:szCs w:val="20"/>
          <w:lang w:val="en"/>
        </w:rPr>
        <w:t> or </w:t>
      </w:r>
      <w:r w:rsidRPr="00AB0D1B">
        <w:rPr>
          <w:rFonts w:ascii="Arial" w:eastAsia="Times New Roman" w:hAnsi="Arial" w:cs="Arial"/>
          <w:i/>
          <w:iCs/>
          <w:color w:val="000000"/>
          <w:sz w:val="20"/>
          <w:szCs w:val="20"/>
          <w:bdr w:val="none" w:sz="0" w:space="0" w:color="auto" w:frame="1"/>
          <w:lang w:val="en"/>
        </w:rPr>
        <w:t>compliance audit clients</w:t>
      </w:r>
      <w:r w:rsidRPr="00AB0D1B">
        <w:rPr>
          <w:rFonts w:ascii="Arial" w:eastAsia="Times New Roman" w:hAnsi="Arial" w:cs="Arial"/>
          <w:color w:val="000000"/>
          <w:sz w:val="20"/>
          <w:szCs w:val="20"/>
          <w:lang w:val="en"/>
        </w:rPr>
        <w:t>?</w:t>
      </w:r>
    </w:p>
    <w:p w:rsidR="00AB0D1B" w:rsidRPr="00AB0D1B" w:rsidRDefault="00AB0D1B" w:rsidP="00AB0D1B">
      <w:pPr>
        <w:spacing w:after="0" w:line="300" w:lineRule="atLeast"/>
        <w:ind w:left="72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Reply</w:t>
      </w:r>
      <w:r w:rsidRPr="00AB0D1B">
        <w:rPr>
          <w:rFonts w:ascii="Arial" w:eastAsia="Times New Roman" w:hAnsi="Arial" w:cs="Arial"/>
          <w:color w:val="000000"/>
          <w:sz w:val="20"/>
          <w:szCs w:val="20"/>
          <w:lang w:val="en"/>
        </w:rPr>
        <w:t> — Determining whether an entity in a </w:t>
      </w:r>
      <w:hyperlink r:id="rId14" w:history="1">
        <w:r w:rsidRPr="00AB0D1B">
          <w:rPr>
            <w:rFonts w:ascii="Arial" w:eastAsia="Times New Roman" w:hAnsi="Arial" w:cs="Arial"/>
            <w:i/>
            <w:iCs/>
            <w:color w:val="41B6E6"/>
            <w:sz w:val="20"/>
            <w:szCs w:val="20"/>
            <w:bdr w:val="none" w:sz="0" w:space="0" w:color="auto" w:frame="1"/>
            <w:lang w:val="en"/>
          </w:rPr>
          <w:t>compliance audit</w:t>
        </w:r>
      </w:hyperlink>
      <w:r w:rsidRPr="00AB0D1B">
        <w:rPr>
          <w:rFonts w:ascii="Arial" w:eastAsia="Times New Roman" w:hAnsi="Arial" w:cs="Arial"/>
          <w:color w:val="000000"/>
          <w:sz w:val="20"/>
          <w:szCs w:val="20"/>
          <w:lang w:val="en"/>
        </w:rPr>
        <w:t> includes amounts in the schedule or statement that are trivial and clearly inconsequential to the schedule or statement as a whole is a matter of professional judgment that involves consideration of both quantitative and qualitative factors. The </w:t>
      </w:r>
      <w:r w:rsidRPr="00AB0D1B">
        <w:rPr>
          <w:rFonts w:ascii="Arial" w:eastAsia="Times New Roman" w:hAnsi="Arial" w:cs="Arial"/>
          <w:i/>
          <w:iCs/>
          <w:color w:val="000000"/>
          <w:sz w:val="20"/>
          <w:szCs w:val="20"/>
          <w:bdr w:val="none" w:sz="0" w:space="0" w:color="auto" w:frame="1"/>
          <w:lang w:val="en"/>
        </w:rPr>
        <w:t>member</w:t>
      </w:r>
      <w:r w:rsidRPr="00AB0D1B">
        <w:rPr>
          <w:rFonts w:ascii="Arial" w:eastAsia="Times New Roman" w:hAnsi="Arial" w:cs="Arial"/>
          <w:color w:val="000000"/>
          <w:sz w:val="20"/>
          <w:szCs w:val="20"/>
          <w:lang w:val="en"/>
        </w:rPr>
        <w:t> may look to the Statements on Auditing Standards for additional guidance on what may be relevant when considering what is trivial and clearly inconsequential.</w:t>
      </w:r>
    </w:p>
    <w:p w:rsidR="00AB0D1B" w:rsidRPr="00AB0D1B" w:rsidRDefault="00AB0D1B" w:rsidP="00AB0D1B">
      <w:pPr>
        <w:spacing w:before="120" w:after="120" w:line="300" w:lineRule="atLeast"/>
        <w:jc w:val="center"/>
        <w:rPr>
          <w:rFonts w:ascii="Arial" w:eastAsia="Times New Roman" w:hAnsi="Arial" w:cs="Arial"/>
          <w:color w:val="000000"/>
          <w:sz w:val="20"/>
          <w:szCs w:val="20"/>
          <w:lang w:val="en"/>
        </w:rPr>
      </w:pPr>
      <w:r w:rsidRPr="00AB0D1B">
        <w:rPr>
          <w:rFonts w:ascii="Arial" w:eastAsia="Times New Roman" w:hAnsi="Arial" w:cs="Arial"/>
          <w:color w:val="000000"/>
          <w:sz w:val="20"/>
          <w:szCs w:val="20"/>
          <w:lang w:val="en"/>
        </w:rPr>
        <w:t>[Issue Date: December 2022.]</w:t>
      </w:r>
    </w:p>
    <w:p w:rsidR="00AB0D1B" w:rsidRPr="00AB0D1B" w:rsidRDefault="00AB0D1B" w:rsidP="00AB0D1B">
      <w:pPr>
        <w:spacing w:after="0" w:line="240" w:lineRule="auto"/>
        <w:outlineLvl w:val="2"/>
        <w:rPr>
          <w:rFonts w:ascii="Arial" w:eastAsia="Times New Roman" w:hAnsi="Arial" w:cs="Arial"/>
          <w:b/>
          <w:bCs/>
          <w:color w:val="000000"/>
          <w:sz w:val="24"/>
          <w:szCs w:val="24"/>
          <w:lang w:val="en"/>
        </w:rPr>
      </w:pPr>
      <w:bookmarkStart w:id="4" w:name="et-qa10.04"/>
      <w:bookmarkEnd w:id="4"/>
      <w:r w:rsidRPr="00AB0D1B">
        <w:rPr>
          <w:rFonts w:ascii="Arial" w:eastAsia="Times New Roman" w:hAnsi="Arial" w:cs="Arial"/>
          <w:b/>
          <w:bCs/>
          <w:color w:val="000000"/>
          <w:sz w:val="20"/>
          <w:szCs w:val="20"/>
          <w:bdr w:val="none" w:sz="0" w:space="0" w:color="auto" w:frame="1"/>
          <w:lang w:val="en"/>
        </w:rPr>
        <w:t>.04 Changes in the Entities That Are the Compliance Audit Clients</w:t>
      </w:r>
    </w:p>
    <w:p w:rsidR="00AB0D1B" w:rsidRPr="00AB0D1B" w:rsidRDefault="00AB0D1B" w:rsidP="00AB0D1B">
      <w:pPr>
        <w:spacing w:after="0" w:line="300" w:lineRule="atLeast"/>
        <w:ind w:left="72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Inquiry</w:t>
      </w:r>
      <w:r w:rsidRPr="00AB0D1B">
        <w:rPr>
          <w:rFonts w:ascii="Arial" w:eastAsia="Times New Roman" w:hAnsi="Arial" w:cs="Arial"/>
          <w:color w:val="000000"/>
          <w:sz w:val="20"/>
          <w:szCs w:val="20"/>
          <w:lang w:val="en"/>
        </w:rPr>
        <w:t xml:space="preserve"> — </w:t>
      </w:r>
      <w:proofErr w:type="gramStart"/>
      <w:r w:rsidRPr="00AB0D1B">
        <w:rPr>
          <w:rFonts w:ascii="Arial" w:eastAsia="Times New Roman" w:hAnsi="Arial" w:cs="Arial"/>
          <w:color w:val="000000"/>
          <w:sz w:val="20"/>
          <w:szCs w:val="20"/>
          <w:lang w:val="en"/>
        </w:rPr>
        <w:t>Could</w:t>
      </w:r>
      <w:proofErr w:type="gramEnd"/>
      <w:r w:rsidRPr="00AB0D1B">
        <w:rPr>
          <w:rFonts w:ascii="Arial" w:eastAsia="Times New Roman" w:hAnsi="Arial" w:cs="Arial"/>
          <w:color w:val="000000"/>
          <w:sz w:val="20"/>
          <w:szCs w:val="20"/>
          <w:lang w:val="en"/>
        </w:rPr>
        <w:t xml:space="preserve"> the entities that are </w:t>
      </w:r>
      <w:hyperlink r:id="rId15" w:history="1">
        <w:r w:rsidRPr="00AB0D1B">
          <w:rPr>
            <w:rFonts w:ascii="Arial" w:eastAsia="Times New Roman" w:hAnsi="Arial" w:cs="Arial"/>
            <w:i/>
            <w:iCs/>
            <w:color w:val="41B6E6"/>
            <w:sz w:val="20"/>
            <w:szCs w:val="20"/>
            <w:bdr w:val="none" w:sz="0" w:space="0" w:color="auto" w:frame="1"/>
            <w:lang w:val="en"/>
          </w:rPr>
          <w:t>compliance audit clients</w:t>
        </w:r>
      </w:hyperlink>
      <w:r w:rsidRPr="00AB0D1B">
        <w:rPr>
          <w:rFonts w:ascii="Arial" w:eastAsia="Times New Roman" w:hAnsi="Arial" w:cs="Arial"/>
          <w:color w:val="000000"/>
          <w:sz w:val="20"/>
          <w:szCs w:val="20"/>
          <w:lang w:val="en"/>
        </w:rPr>
        <w:t> change during the </w:t>
      </w:r>
      <w:hyperlink r:id="rId16" w:history="1">
        <w:r w:rsidRPr="00AB0D1B">
          <w:rPr>
            <w:rFonts w:ascii="Arial" w:eastAsia="Times New Roman" w:hAnsi="Arial" w:cs="Arial"/>
            <w:i/>
            <w:iCs/>
            <w:color w:val="41B6E6"/>
            <w:sz w:val="20"/>
            <w:szCs w:val="20"/>
            <w:bdr w:val="none" w:sz="0" w:space="0" w:color="auto" w:frame="1"/>
            <w:lang w:val="en"/>
          </w:rPr>
          <w:t>period of professional engagement</w:t>
        </w:r>
      </w:hyperlink>
      <w:r w:rsidRPr="00AB0D1B">
        <w:rPr>
          <w:rFonts w:ascii="Arial" w:eastAsia="Times New Roman" w:hAnsi="Arial" w:cs="Arial"/>
          <w:color w:val="000000"/>
          <w:sz w:val="20"/>
          <w:szCs w:val="20"/>
          <w:lang w:val="en"/>
        </w:rPr>
        <w:t>?</w:t>
      </w:r>
    </w:p>
    <w:p w:rsidR="00AB0D1B" w:rsidRPr="00AB0D1B" w:rsidRDefault="00AB0D1B" w:rsidP="00AB0D1B">
      <w:pPr>
        <w:spacing w:after="0" w:line="300" w:lineRule="atLeast"/>
        <w:ind w:left="72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Reply</w:t>
      </w:r>
      <w:r w:rsidRPr="00AB0D1B">
        <w:rPr>
          <w:rFonts w:ascii="Arial" w:eastAsia="Times New Roman" w:hAnsi="Arial" w:cs="Arial"/>
          <w:color w:val="000000"/>
          <w:sz w:val="20"/>
          <w:szCs w:val="20"/>
          <w:lang w:val="en"/>
        </w:rPr>
        <w:t> — Yes. The </w:t>
      </w:r>
      <w:hyperlink r:id="rId17" w:history="1">
        <w:r w:rsidRPr="00AB0D1B">
          <w:rPr>
            <w:rFonts w:ascii="Arial" w:eastAsia="Times New Roman" w:hAnsi="Arial" w:cs="Arial"/>
            <w:i/>
            <w:iCs/>
            <w:color w:val="41B6E6"/>
            <w:sz w:val="20"/>
            <w:szCs w:val="20"/>
            <w:bdr w:val="none" w:sz="0" w:space="0" w:color="auto" w:frame="1"/>
            <w:lang w:val="en"/>
          </w:rPr>
          <w:t>member</w:t>
        </w:r>
      </w:hyperlink>
      <w:r w:rsidRPr="00AB0D1B">
        <w:rPr>
          <w:rFonts w:ascii="Arial" w:eastAsia="Times New Roman" w:hAnsi="Arial" w:cs="Arial"/>
          <w:color w:val="000000"/>
          <w:sz w:val="20"/>
          <w:szCs w:val="20"/>
          <w:lang w:val="en"/>
        </w:rPr>
        <w:t> should be alert to changes to the determination of the </w:t>
      </w:r>
      <w:r w:rsidRPr="00AB0D1B">
        <w:rPr>
          <w:rFonts w:ascii="Arial" w:eastAsia="Times New Roman" w:hAnsi="Arial" w:cs="Arial"/>
          <w:i/>
          <w:iCs/>
          <w:color w:val="000000"/>
          <w:sz w:val="20"/>
          <w:szCs w:val="20"/>
          <w:bdr w:val="none" w:sz="0" w:space="0" w:color="auto" w:frame="1"/>
          <w:lang w:val="en"/>
        </w:rPr>
        <w:t>compliance audit client</w:t>
      </w:r>
      <w:r w:rsidRPr="00AB0D1B">
        <w:rPr>
          <w:rFonts w:ascii="Arial" w:eastAsia="Times New Roman" w:hAnsi="Arial" w:cs="Arial"/>
          <w:color w:val="000000"/>
          <w:sz w:val="20"/>
          <w:szCs w:val="20"/>
          <w:lang w:val="en"/>
        </w:rPr>
        <w:t> or </w:t>
      </w:r>
      <w:r w:rsidRPr="00AB0D1B">
        <w:rPr>
          <w:rFonts w:ascii="Arial" w:eastAsia="Times New Roman" w:hAnsi="Arial" w:cs="Arial"/>
          <w:i/>
          <w:iCs/>
          <w:color w:val="000000"/>
          <w:sz w:val="20"/>
          <w:szCs w:val="20"/>
          <w:bdr w:val="none" w:sz="0" w:space="0" w:color="auto" w:frame="1"/>
          <w:lang w:val="en"/>
        </w:rPr>
        <w:t>compliance audit clients</w:t>
      </w:r>
      <w:r w:rsidRPr="00AB0D1B">
        <w:rPr>
          <w:rFonts w:ascii="Arial" w:eastAsia="Times New Roman" w:hAnsi="Arial" w:cs="Arial"/>
          <w:color w:val="000000"/>
          <w:sz w:val="20"/>
          <w:szCs w:val="20"/>
          <w:lang w:val="en"/>
        </w:rPr>
        <w:t> throughout the </w:t>
      </w:r>
      <w:r w:rsidRPr="00AB0D1B">
        <w:rPr>
          <w:rFonts w:ascii="Arial" w:eastAsia="Times New Roman" w:hAnsi="Arial" w:cs="Arial"/>
          <w:i/>
          <w:iCs/>
          <w:color w:val="000000"/>
          <w:sz w:val="20"/>
          <w:szCs w:val="20"/>
          <w:bdr w:val="none" w:sz="0" w:space="0" w:color="auto" w:frame="1"/>
          <w:lang w:val="en"/>
        </w:rPr>
        <w:t>period of the professional engagement</w:t>
      </w:r>
      <w:r w:rsidRPr="00AB0D1B">
        <w:rPr>
          <w:rFonts w:ascii="Arial" w:eastAsia="Times New Roman" w:hAnsi="Arial" w:cs="Arial"/>
          <w:color w:val="000000"/>
          <w:sz w:val="20"/>
          <w:szCs w:val="20"/>
          <w:lang w:val="en"/>
        </w:rPr>
        <w:t>. An entity that was excluded from the definition of </w:t>
      </w:r>
      <w:r w:rsidRPr="00AB0D1B">
        <w:rPr>
          <w:rFonts w:ascii="Arial" w:eastAsia="Times New Roman" w:hAnsi="Arial" w:cs="Arial"/>
          <w:i/>
          <w:iCs/>
          <w:color w:val="000000"/>
          <w:sz w:val="20"/>
          <w:szCs w:val="20"/>
          <w:bdr w:val="none" w:sz="0" w:space="0" w:color="auto" w:frame="1"/>
          <w:lang w:val="en"/>
        </w:rPr>
        <w:t>compliance audit client</w:t>
      </w:r>
      <w:r w:rsidRPr="00AB0D1B">
        <w:rPr>
          <w:rFonts w:ascii="Arial" w:eastAsia="Times New Roman" w:hAnsi="Arial" w:cs="Arial"/>
          <w:color w:val="000000"/>
          <w:sz w:val="20"/>
          <w:szCs w:val="20"/>
          <w:lang w:val="en"/>
        </w:rPr>
        <w:t> may become a </w:t>
      </w:r>
      <w:r w:rsidRPr="00AB0D1B">
        <w:rPr>
          <w:rFonts w:ascii="Arial" w:eastAsia="Times New Roman" w:hAnsi="Arial" w:cs="Arial"/>
          <w:i/>
          <w:iCs/>
          <w:color w:val="000000"/>
          <w:sz w:val="20"/>
          <w:szCs w:val="20"/>
          <w:bdr w:val="none" w:sz="0" w:space="0" w:color="auto" w:frame="1"/>
          <w:lang w:val="en"/>
        </w:rPr>
        <w:t>compliance audit client</w:t>
      </w:r>
      <w:r w:rsidRPr="00AB0D1B">
        <w:rPr>
          <w:rFonts w:ascii="Arial" w:eastAsia="Times New Roman" w:hAnsi="Arial" w:cs="Arial"/>
          <w:color w:val="000000"/>
          <w:sz w:val="20"/>
          <w:szCs w:val="20"/>
          <w:lang w:val="en"/>
        </w:rPr>
        <w:t> either because it becomes subject to the compliance audit procedures or because it includes amounts in the schedule or statement that are no longer trivial and clearly inconsequential to the schedule or statement as a whole. In other words, the entity is no longer excluded from being considered a </w:t>
      </w:r>
      <w:r w:rsidRPr="00AB0D1B">
        <w:rPr>
          <w:rFonts w:ascii="Arial" w:eastAsia="Times New Roman" w:hAnsi="Arial" w:cs="Arial"/>
          <w:i/>
          <w:iCs/>
          <w:color w:val="000000"/>
          <w:sz w:val="20"/>
          <w:szCs w:val="20"/>
          <w:bdr w:val="none" w:sz="0" w:space="0" w:color="auto" w:frame="1"/>
          <w:lang w:val="en"/>
        </w:rPr>
        <w:t>compliance audit client</w:t>
      </w:r>
      <w:r w:rsidRPr="00AB0D1B">
        <w:rPr>
          <w:rFonts w:ascii="Arial" w:eastAsia="Times New Roman" w:hAnsi="Arial" w:cs="Arial"/>
          <w:color w:val="000000"/>
          <w:sz w:val="20"/>
          <w:szCs w:val="20"/>
          <w:lang w:val="en"/>
        </w:rPr>
        <w:t> because it no longer meets both criteria described in the definition of </w:t>
      </w:r>
      <w:r w:rsidRPr="00AB0D1B">
        <w:rPr>
          <w:rFonts w:ascii="Arial" w:eastAsia="Times New Roman" w:hAnsi="Arial" w:cs="Arial"/>
          <w:i/>
          <w:iCs/>
          <w:color w:val="000000"/>
          <w:sz w:val="20"/>
          <w:szCs w:val="20"/>
          <w:bdr w:val="none" w:sz="0" w:space="0" w:color="auto" w:frame="1"/>
          <w:lang w:val="en"/>
        </w:rPr>
        <w:t>compliance audit client</w:t>
      </w:r>
      <w:r w:rsidRPr="00AB0D1B">
        <w:rPr>
          <w:rFonts w:ascii="Arial" w:eastAsia="Times New Roman" w:hAnsi="Arial" w:cs="Arial"/>
          <w:color w:val="000000"/>
          <w:sz w:val="20"/>
          <w:szCs w:val="20"/>
          <w:lang w:val="en"/>
        </w:rPr>
        <w:t>, and therefore, the </w:t>
      </w:r>
      <w:hyperlink r:id="rId18" w:history="1">
        <w:r w:rsidRPr="00AB0D1B">
          <w:rPr>
            <w:rFonts w:ascii="Arial" w:eastAsia="Times New Roman" w:hAnsi="Arial" w:cs="Arial"/>
            <w:i/>
            <w:iCs/>
            <w:color w:val="41B6E6"/>
            <w:sz w:val="20"/>
            <w:szCs w:val="20"/>
            <w:bdr w:val="none" w:sz="0" w:space="0" w:color="auto" w:frame="1"/>
            <w:lang w:val="en"/>
          </w:rPr>
          <w:t>independence</w:t>
        </w:r>
      </w:hyperlink>
      <w:r w:rsidRPr="00AB0D1B">
        <w:rPr>
          <w:rFonts w:ascii="Arial" w:eastAsia="Times New Roman" w:hAnsi="Arial" w:cs="Arial"/>
          <w:color w:val="000000"/>
          <w:sz w:val="20"/>
          <w:szCs w:val="20"/>
          <w:lang w:val="en"/>
        </w:rPr>
        <w:t> requirements should be applied.</w:t>
      </w:r>
    </w:p>
    <w:p w:rsidR="00AB0D1B" w:rsidRPr="00AB0D1B" w:rsidRDefault="00AB0D1B" w:rsidP="00AB0D1B">
      <w:pPr>
        <w:spacing w:before="120" w:after="120" w:line="300" w:lineRule="atLeast"/>
        <w:jc w:val="center"/>
        <w:rPr>
          <w:rFonts w:ascii="Arial" w:eastAsia="Times New Roman" w:hAnsi="Arial" w:cs="Arial"/>
          <w:color w:val="000000"/>
          <w:sz w:val="20"/>
          <w:szCs w:val="20"/>
          <w:lang w:val="en"/>
        </w:rPr>
      </w:pPr>
      <w:r w:rsidRPr="00AB0D1B">
        <w:rPr>
          <w:rFonts w:ascii="Arial" w:eastAsia="Times New Roman" w:hAnsi="Arial" w:cs="Arial"/>
          <w:color w:val="000000"/>
          <w:sz w:val="20"/>
          <w:szCs w:val="20"/>
          <w:lang w:val="en"/>
        </w:rPr>
        <w:t>[Issue Date: December 2022.]</w:t>
      </w:r>
    </w:p>
    <w:p w:rsidR="00AB0D1B" w:rsidRPr="00AB0D1B" w:rsidRDefault="00AB0D1B" w:rsidP="00AB0D1B">
      <w:pPr>
        <w:spacing w:after="0" w:line="240" w:lineRule="auto"/>
        <w:outlineLvl w:val="2"/>
        <w:rPr>
          <w:rFonts w:ascii="Arial" w:eastAsia="Times New Roman" w:hAnsi="Arial" w:cs="Arial"/>
          <w:b/>
          <w:bCs/>
          <w:color w:val="000000"/>
          <w:sz w:val="24"/>
          <w:szCs w:val="24"/>
          <w:lang w:val="en"/>
        </w:rPr>
      </w:pPr>
      <w:bookmarkStart w:id="5" w:name="et-qa10.05"/>
      <w:bookmarkEnd w:id="5"/>
      <w:r w:rsidRPr="00AB0D1B">
        <w:rPr>
          <w:rFonts w:ascii="Arial" w:eastAsia="Times New Roman" w:hAnsi="Arial" w:cs="Arial"/>
          <w:b/>
          <w:bCs/>
          <w:color w:val="000000"/>
          <w:sz w:val="20"/>
          <w:szCs w:val="20"/>
          <w:bdr w:val="none" w:sz="0" w:space="0" w:color="auto" w:frame="1"/>
          <w:lang w:val="en"/>
        </w:rPr>
        <w:t>.05 Using the Conceptual Framework in a Compliance Audit</w:t>
      </w:r>
    </w:p>
    <w:p w:rsidR="00AB0D1B" w:rsidRPr="00AB0D1B" w:rsidRDefault="00AB0D1B" w:rsidP="00AB0D1B">
      <w:pPr>
        <w:spacing w:after="0" w:line="300" w:lineRule="atLeast"/>
        <w:ind w:left="72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Inquiry</w:t>
      </w:r>
      <w:r w:rsidRPr="00AB0D1B">
        <w:rPr>
          <w:rFonts w:ascii="Arial" w:eastAsia="Times New Roman" w:hAnsi="Arial" w:cs="Arial"/>
          <w:color w:val="000000"/>
          <w:sz w:val="20"/>
          <w:szCs w:val="20"/>
          <w:lang w:val="en"/>
        </w:rPr>
        <w:t> — In a </w:t>
      </w:r>
      <w:hyperlink r:id="rId19" w:history="1">
        <w:r w:rsidRPr="00AB0D1B">
          <w:rPr>
            <w:rFonts w:ascii="Arial" w:eastAsia="Times New Roman" w:hAnsi="Arial" w:cs="Arial"/>
            <w:i/>
            <w:iCs/>
            <w:color w:val="41B6E6"/>
            <w:sz w:val="20"/>
            <w:szCs w:val="20"/>
            <w:bdr w:val="none" w:sz="0" w:space="0" w:color="auto" w:frame="1"/>
            <w:lang w:val="en"/>
          </w:rPr>
          <w:t>compliance audit</w:t>
        </w:r>
      </w:hyperlink>
      <w:r w:rsidRPr="00AB0D1B">
        <w:rPr>
          <w:rFonts w:ascii="Arial" w:eastAsia="Times New Roman" w:hAnsi="Arial" w:cs="Arial"/>
          <w:color w:val="000000"/>
          <w:sz w:val="20"/>
          <w:szCs w:val="20"/>
          <w:lang w:val="en"/>
        </w:rPr>
        <w:t>, when should a </w:t>
      </w:r>
      <w:hyperlink r:id="rId20" w:history="1">
        <w:r w:rsidRPr="00AB0D1B">
          <w:rPr>
            <w:rFonts w:ascii="Arial" w:eastAsia="Times New Roman" w:hAnsi="Arial" w:cs="Arial"/>
            <w:i/>
            <w:iCs/>
            <w:color w:val="41B6E6"/>
            <w:sz w:val="20"/>
            <w:szCs w:val="20"/>
            <w:bdr w:val="none" w:sz="0" w:space="0" w:color="auto" w:frame="1"/>
            <w:lang w:val="en"/>
          </w:rPr>
          <w:t>member</w:t>
        </w:r>
      </w:hyperlink>
      <w:r w:rsidRPr="00AB0D1B">
        <w:rPr>
          <w:rFonts w:ascii="Arial" w:eastAsia="Times New Roman" w:hAnsi="Arial" w:cs="Arial"/>
          <w:color w:val="000000"/>
          <w:sz w:val="20"/>
          <w:szCs w:val="20"/>
          <w:lang w:val="en"/>
        </w:rPr>
        <w:t> apply the “</w:t>
      </w:r>
      <w:hyperlink r:id="rId21" w:history="1">
        <w:r w:rsidRPr="00AB0D1B">
          <w:rPr>
            <w:rFonts w:ascii="Arial" w:eastAsia="Times New Roman" w:hAnsi="Arial" w:cs="Arial"/>
            <w:color w:val="41B6E6"/>
            <w:sz w:val="20"/>
            <w:szCs w:val="20"/>
            <w:bdr w:val="none" w:sz="0" w:space="0" w:color="auto" w:frame="1"/>
            <w:lang w:val="en"/>
          </w:rPr>
          <w:t>Conceptual Framework for Independence</w:t>
        </w:r>
      </w:hyperlink>
      <w:r w:rsidRPr="00AB0D1B">
        <w:rPr>
          <w:rFonts w:ascii="Arial" w:eastAsia="Times New Roman" w:hAnsi="Arial" w:cs="Arial"/>
          <w:color w:val="000000"/>
          <w:sz w:val="20"/>
          <w:szCs w:val="20"/>
          <w:lang w:val="en"/>
        </w:rPr>
        <w:t>” (ET sec. 1.210.010)?</w:t>
      </w:r>
    </w:p>
    <w:p w:rsidR="00AB0D1B" w:rsidRPr="00AB0D1B" w:rsidRDefault="00AB0D1B" w:rsidP="00AB0D1B">
      <w:pPr>
        <w:spacing w:after="0" w:line="300" w:lineRule="atLeast"/>
        <w:ind w:left="72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Reply</w:t>
      </w:r>
      <w:r w:rsidRPr="00AB0D1B">
        <w:rPr>
          <w:rFonts w:ascii="Arial" w:eastAsia="Times New Roman" w:hAnsi="Arial" w:cs="Arial"/>
          <w:color w:val="000000"/>
          <w:sz w:val="20"/>
          <w:szCs w:val="20"/>
          <w:lang w:val="en"/>
        </w:rPr>
        <w:t> — Upon encountering relationships or circumstances that may create </w:t>
      </w:r>
      <w:hyperlink r:id="rId22" w:history="1">
        <w:r w:rsidRPr="00AB0D1B">
          <w:rPr>
            <w:rFonts w:ascii="Arial" w:eastAsia="Times New Roman" w:hAnsi="Arial" w:cs="Arial"/>
            <w:i/>
            <w:iCs/>
            <w:color w:val="41B6E6"/>
            <w:sz w:val="20"/>
            <w:szCs w:val="20"/>
            <w:bdr w:val="none" w:sz="0" w:space="0" w:color="auto" w:frame="1"/>
            <w:lang w:val="en"/>
          </w:rPr>
          <w:t>threats</w:t>
        </w:r>
      </w:hyperlink>
      <w:r w:rsidRPr="00AB0D1B">
        <w:rPr>
          <w:rFonts w:ascii="Arial" w:eastAsia="Times New Roman" w:hAnsi="Arial" w:cs="Arial"/>
          <w:color w:val="000000"/>
          <w:sz w:val="20"/>
          <w:szCs w:val="20"/>
          <w:lang w:val="en"/>
        </w:rPr>
        <w:t> to </w:t>
      </w:r>
      <w:hyperlink r:id="rId23" w:history="1">
        <w:r w:rsidRPr="00AB0D1B">
          <w:rPr>
            <w:rFonts w:ascii="Arial" w:eastAsia="Times New Roman" w:hAnsi="Arial" w:cs="Arial"/>
            <w:i/>
            <w:iCs/>
            <w:color w:val="41B6E6"/>
            <w:sz w:val="20"/>
            <w:szCs w:val="20"/>
            <w:bdr w:val="none" w:sz="0" w:space="0" w:color="auto" w:frame="1"/>
            <w:lang w:val="en"/>
          </w:rPr>
          <w:t>independence</w:t>
        </w:r>
      </w:hyperlink>
      <w:r w:rsidRPr="00AB0D1B">
        <w:rPr>
          <w:rFonts w:ascii="Arial" w:eastAsia="Times New Roman" w:hAnsi="Arial" w:cs="Arial"/>
          <w:color w:val="000000"/>
          <w:sz w:val="20"/>
          <w:szCs w:val="20"/>
          <w:lang w:val="en"/>
        </w:rPr>
        <w:t>, the </w:t>
      </w:r>
      <w:r w:rsidRPr="00AB0D1B">
        <w:rPr>
          <w:rFonts w:ascii="Arial" w:eastAsia="Times New Roman" w:hAnsi="Arial" w:cs="Arial"/>
          <w:i/>
          <w:iCs/>
          <w:color w:val="000000"/>
          <w:sz w:val="20"/>
          <w:szCs w:val="20"/>
          <w:bdr w:val="none" w:sz="0" w:space="0" w:color="auto" w:frame="1"/>
          <w:lang w:val="en"/>
        </w:rPr>
        <w:t>member</w:t>
      </w:r>
      <w:r w:rsidRPr="00AB0D1B">
        <w:rPr>
          <w:rFonts w:ascii="Arial" w:eastAsia="Times New Roman" w:hAnsi="Arial" w:cs="Arial"/>
          <w:color w:val="000000"/>
          <w:sz w:val="20"/>
          <w:szCs w:val="20"/>
          <w:lang w:val="en"/>
        </w:rPr>
        <w:t> should apply the “</w:t>
      </w:r>
      <w:hyperlink r:id="rId24" w:history="1">
        <w:r w:rsidRPr="00AB0D1B">
          <w:rPr>
            <w:rFonts w:ascii="Arial" w:eastAsia="Times New Roman" w:hAnsi="Arial" w:cs="Arial"/>
            <w:color w:val="41B6E6"/>
            <w:sz w:val="20"/>
            <w:szCs w:val="20"/>
            <w:bdr w:val="none" w:sz="0" w:space="0" w:color="auto" w:frame="1"/>
            <w:lang w:val="en"/>
          </w:rPr>
          <w:t>Conceptual Framework for Independence</w:t>
        </w:r>
      </w:hyperlink>
      <w:r w:rsidRPr="00AB0D1B">
        <w:rPr>
          <w:rFonts w:ascii="Arial" w:eastAsia="Times New Roman" w:hAnsi="Arial" w:cs="Arial"/>
          <w:color w:val="000000"/>
          <w:sz w:val="20"/>
          <w:szCs w:val="20"/>
          <w:lang w:val="en"/>
        </w:rPr>
        <w:t>” to evaluate whether threats are at an </w:t>
      </w:r>
      <w:hyperlink r:id="rId25" w:history="1">
        <w:r w:rsidRPr="00AB0D1B">
          <w:rPr>
            <w:rFonts w:ascii="Arial" w:eastAsia="Times New Roman" w:hAnsi="Arial" w:cs="Arial"/>
            <w:i/>
            <w:iCs/>
            <w:color w:val="41B6E6"/>
            <w:sz w:val="20"/>
            <w:szCs w:val="20"/>
            <w:bdr w:val="none" w:sz="0" w:space="0" w:color="auto" w:frame="1"/>
            <w:lang w:val="en"/>
          </w:rPr>
          <w:t>acceptable level</w:t>
        </w:r>
      </w:hyperlink>
      <w:r w:rsidRPr="00AB0D1B">
        <w:rPr>
          <w:rFonts w:ascii="Arial" w:eastAsia="Times New Roman" w:hAnsi="Arial" w:cs="Arial"/>
          <w:color w:val="000000"/>
          <w:sz w:val="20"/>
          <w:szCs w:val="20"/>
          <w:lang w:val="en"/>
        </w:rPr>
        <w:t>.</w:t>
      </w:r>
    </w:p>
    <w:p w:rsidR="00AB0D1B" w:rsidRPr="00AB0D1B" w:rsidRDefault="00AB0D1B" w:rsidP="00AB0D1B">
      <w:pPr>
        <w:spacing w:after="0" w:line="300" w:lineRule="atLeast"/>
        <w:ind w:left="720"/>
        <w:rPr>
          <w:rFonts w:ascii="Arial" w:eastAsia="Times New Roman" w:hAnsi="Arial" w:cs="Arial"/>
          <w:color w:val="000000"/>
          <w:sz w:val="20"/>
          <w:szCs w:val="20"/>
          <w:lang w:val="en"/>
        </w:rPr>
      </w:pPr>
      <w:r w:rsidRPr="00AB0D1B">
        <w:rPr>
          <w:rFonts w:ascii="Arial" w:eastAsia="Times New Roman" w:hAnsi="Arial" w:cs="Arial"/>
          <w:color w:val="000000"/>
          <w:sz w:val="20"/>
          <w:szCs w:val="20"/>
          <w:lang w:val="en"/>
        </w:rPr>
        <w:t>For example, when an entity does not include amounts in the schedule or statement (and therefore does not meet the definition of a </w:t>
      </w:r>
      <w:hyperlink r:id="rId26" w:history="1">
        <w:r w:rsidRPr="00AB0D1B">
          <w:rPr>
            <w:rFonts w:ascii="Arial" w:eastAsia="Times New Roman" w:hAnsi="Arial" w:cs="Arial"/>
            <w:i/>
            <w:iCs/>
            <w:color w:val="41B6E6"/>
            <w:sz w:val="20"/>
            <w:szCs w:val="20"/>
            <w:bdr w:val="none" w:sz="0" w:space="0" w:color="auto" w:frame="1"/>
            <w:lang w:val="en"/>
          </w:rPr>
          <w:t>compliance audit client</w:t>
        </w:r>
      </w:hyperlink>
      <w:r w:rsidRPr="00AB0D1B">
        <w:rPr>
          <w:rFonts w:ascii="Arial" w:eastAsia="Times New Roman" w:hAnsi="Arial" w:cs="Arial"/>
          <w:color w:val="000000"/>
          <w:sz w:val="20"/>
          <w:szCs w:val="20"/>
          <w:lang w:val="en"/>
        </w:rPr>
        <w:t>) but supports a </w:t>
      </w:r>
      <w:r w:rsidRPr="00AB0D1B">
        <w:rPr>
          <w:rFonts w:ascii="Arial" w:eastAsia="Times New Roman" w:hAnsi="Arial" w:cs="Arial"/>
          <w:i/>
          <w:iCs/>
          <w:color w:val="000000"/>
          <w:sz w:val="20"/>
          <w:szCs w:val="20"/>
          <w:bdr w:val="none" w:sz="0" w:space="0" w:color="auto" w:frame="1"/>
          <w:lang w:val="en"/>
        </w:rPr>
        <w:t>compliance audit client</w:t>
      </w:r>
      <w:r w:rsidRPr="00AB0D1B">
        <w:rPr>
          <w:rFonts w:ascii="Arial" w:eastAsia="Times New Roman" w:hAnsi="Arial" w:cs="Arial"/>
          <w:color w:val="000000"/>
          <w:sz w:val="20"/>
          <w:szCs w:val="20"/>
          <w:lang w:val="en"/>
        </w:rPr>
        <w:t> in a way that results in that entity being subject to compliance audit procedures, the </w:t>
      </w:r>
      <w:r w:rsidRPr="00AB0D1B">
        <w:rPr>
          <w:rFonts w:ascii="Arial" w:eastAsia="Times New Roman" w:hAnsi="Arial" w:cs="Arial"/>
          <w:i/>
          <w:iCs/>
          <w:color w:val="000000"/>
          <w:sz w:val="20"/>
          <w:szCs w:val="20"/>
          <w:bdr w:val="none" w:sz="0" w:space="0" w:color="auto" w:frame="1"/>
          <w:lang w:val="en"/>
        </w:rPr>
        <w:t>member</w:t>
      </w:r>
      <w:r w:rsidRPr="00AB0D1B">
        <w:rPr>
          <w:rFonts w:ascii="Arial" w:eastAsia="Times New Roman" w:hAnsi="Arial" w:cs="Arial"/>
          <w:color w:val="000000"/>
          <w:sz w:val="20"/>
          <w:szCs w:val="20"/>
          <w:lang w:val="en"/>
        </w:rPr>
        <w:t> should use the “</w:t>
      </w:r>
      <w:hyperlink r:id="rId27" w:history="1">
        <w:r w:rsidRPr="00AB0D1B">
          <w:rPr>
            <w:rFonts w:ascii="Arial" w:eastAsia="Times New Roman" w:hAnsi="Arial" w:cs="Arial"/>
            <w:color w:val="41B6E6"/>
            <w:sz w:val="20"/>
            <w:szCs w:val="20"/>
            <w:bdr w:val="none" w:sz="0" w:space="0" w:color="auto" w:frame="1"/>
            <w:lang w:val="en"/>
          </w:rPr>
          <w:t>Conceptual Framework for Independence</w:t>
        </w:r>
      </w:hyperlink>
      <w:r w:rsidRPr="00AB0D1B">
        <w:rPr>
          <w:rFonts w:ascii="Arial" w:eastAsia="Times New Roman" w:hAnsi="Arial" w:cs="Arial"/>
          <w:color w:val="000000"/>
          <w:sz w:val="20"/>
          <w:szCs w:val="20"/>
          <w:lang w:val="en"/>
        </w:rPr>
        <w:t xml:space="preserve">” to </w:t>
      </w:r>
      <w:r w:rsidRPr="00AB0D1B">
        <w:rPr>
          <w:rFonts w:ascii="Arial" w:eastAsia="Times New Roman" w:hAnsi="Arial" w:cs="Arial"/>
          <w:color w:val="000000"/>
          <w:sz w:val="20"/>
          <w:szCs w:val="20"/>
          <w:lang w:val="en"/>
        </w:rPr>
        <w:lastRenderedPageBreak/>
        <w:t>evaluate </w:t>
      </w:r>
      <w:r w:rsidRPr="00AB0D1B">
        <w:rPr>
          <w:rFonts w:ascii="Arial" w:eastAsia="Times New Roman" w:hAnsi="Arial" w:cs="Arial"/>
          <w:i/>
          <w:iCs/>
          <w:color w:val="000000"/>
          <w:sz w:val="20"/>
          <w:szCs w:val="20"/>
          <w:bdr w:val="none" w:sz="0" w:space="0" w:color="auto" w:frame="1"/>
          <w:lang w:val="en"/>
        </w:rPr>
        <w:t>threats</w:t>
      </w:r>
      <w:r w:rsidRPr="00AB0D1B">
        <w:rPr>
          <w:rFonts w:ascii="Arial" w:eastAsia="Times New Roman" w:hAnsi="Arial" w:cs="Arial"/>
          <w:color w:val="000000"/>
          <w:sz w:val="20"/>
          <w:szCs w:val="20"/>
          <w:lang w:val="en"/>
        </w:rPr>
        <w:t> to </w:t>
      </w:r>
      <w:r w:rsidRPr="00AB0D1B">
        <w:rPr>
          <w:rFonts w:ascii="Arial" w:eastAsia="Times New Roman" w:hAnsi="Arial" w:cs="Arial"/>
          <w:i/>
          <w:iCs/>
          <w:color w:val="000000"/>
          <w:sz w:val="20"/>
          <w:szCs w:val="20"/>
          <w:bdr w:val="none" w:sz="0" w:space="0" w:color="auto" w:frame="1"/>
          <w:lang w:val="en"/>
        </w:rPr>
        <w:t>independence</w:t>
      </w:r>
      <w:r w:rsidRPr="00AB0D1B">
        <w:rPr>
          <w:rFonts w:ascii="Arial" w:eastAsia="Times New Roman" w:hAnsi="Arial" w:cs="Arial"/>
          <w:color w:val="000000"/>
          <w:sz w:val="20"/>
          <w:szCs w:val="20"/>
          <w:lang w:val="en"/>
        </w:rPr>
        <w:t> related to any relationships or circumstances that exist with such entity.</w:t>
      </w:r>
    </w:p>
    <w:p w:rsidR="00AB0D1B" w:rsidRPr="00AB0D1B" w:rsidRDefault="00AB0D1B" w:rsidP="00AB0D1B">
      <w:pPr>
        <w:spacing w:after="0" w:line="300" w:lineRule="atLeast"/>
        <w:ind w:left="720"/>
        <w:rPr>
          <w:rFonts w:ascii="Arial" w:eastAsia="Times New Roman" w:hAnsi="Arial" w:cs="Arial"/>
          <w:color w:val="000000"/>
          <w:sz w:val="20"/>
          <w:szCs w:val="20"/>
          <w:lang w:val="en"/>
        </w:rPr>
      </w:pPr>
      <w:r w:rsidRPr="00AB0D1B">
        <w:rPr>
          <w:rFonts w:ascii="Arial" w:eastAsia="Times New Roman" w:hAnsi="Arial" w:cs="Arial"/>
          <w:color w:val="000000"/>
          <w:sz w:val="20"/>
          <w:szCs w:val="20"/>
          <w:lang w:val="en"/>
        </w:rPr>
        <w:t>In a </w:t>
      </w:r>
      <w:r w:rsidRPr="00AB0D1B">
        <w:rPr>
          <w:rFonts w:ascii="Arial" w:eastAsia="Times New Roman" w:hAnsi="Arial" w:cs="Arial"/>
          <w:i/>
          <w:iCs/>
          <w:color w:val="000000"/>
          <w:sz w:val="20"/>
          <w:szCs w:val="20"/>
          <w:bdr w:val="none" w:sz="0" w:space="0" w:color="auto" w:frame="1"/>
          <w:lang w:val="en"/>
        </w:rPr>
        <w:t>compliance audit</w:t>
      </w:r>
      <w:r w:rsidRPr="00AB0D1B">
        <w:rPr>
          <w:rFonts w:ascii="Arial" w:eastAsia="Times New Roman" w:hAnsi="Arial" w:cs="Arial"/>
          <w:color w:val="000000"/>
          <w:sz w:val="20"/>
          <w:szCs w:val="20"/>
          <w:lang w:val="en"/>
        </w:rPr>
        <w:t> subject to the Uniform Guidance, there may be an entity that does not include amounts in the SEFA but provides support activities for a </w:t>
      </w:r>
      <w:r w:rsidRPr="00AB0D1B">
        <w:rPr>
          <w:rFonts w:ascii="Arial" w:eastAsia="Times New Roman" w:hAnsi="Arial" w:cs="Arial"/>
          <w:i/>
          <w:iCs/>
          <w:color w:val="000000"/>
          <w:sz w:val="20"/>
          <w:szCs w:val="20"/>
          <w:bdr w:val="none" w:sz="0" w:space="0" w:color="auto" w:frame="1"/>
          <w:lang w:val="en"/>
        </w:rPr>
        <w:t>compliance audit client</w:t>
      </w:r>
      <w:r w:rsidRPr="00AB0D1B">
        <w:rPr>
          <w:rFonts w:ascii="Arial" w:eastAsia="Times New Roman" w:hAnsi="Arial" w:cs="Arial"/>
          <w:color w:val="000000"/>
          <w:sz w:val="20"/>
          <w:szCs w:val="20"/>
          <w:lang w:val="en"/>
        </w:rPr>
        <w:t>. Those activities, such as providing accounting and financial reporting support for the client, may be subject to compliance audit procedures.</w:t>
      </w:r>
    </w:p>
    <w:p w:rsidR="00AB0D1B" w:rsidRPr="00AB0D1B" w:rsidRDefault="00AB0D1B" w:rsidP="00AB0D1B">
      <w:pPr>
        <w:spacing w:after="0" w:line="300" w:lineRule="atLeast"/>
        <w:ind w:left="720"/>
        <w:rPr>
          <w:rFonts w:ascii="Arial" w:eastAsia="Times New Roman" w:hAnsi="Arial" w:cs="Arial"/>
          <w:color w:val="000000"/>
          <w:sz w:val="20"/>
          <w:szCs w:val="20"/>
          <w:lang w:val="en"/>
        </w:rPr>
      </w:pPr>
      <w:r w:rsidRPr="00AB0D1B">
        <w:rPr>
          <w:rFonts w:ascii="Arial" w:eastAsia="Times New Roman" w:hAnsi="Arial" w:cs="Arial"/>
          <w:color w:val="000000"/>
          <w:sz w:val="20"/>
          <w:szCs w:val="20"/>
          <w:lang w:val="en"/>
        </w:rPr>
        <w:t>If the </w:t>
      </w:r>
      <w:r w:rsidRPr="00AB0D1B">
        <w:rPr>
          <w:rFonts w:ascii="Arial" w:eastAsia="Times New Roman" w:hAnsi="Arial" w:cs="Arial"/>
          <w:i/>
          <w:iCs/>
          <w:color w:val="000000"/>
          <w:sz w:val="20"/>
          <w:szCs w:val="20"/>
          <w:bdr w:val="none" w:sz="0" w:space="0" w:color="auto" w:frame="1"/>
          <w:lang w:val="en"/>
        </w:rPr>
        <w:t>member</w:t>
      </w:r>
      <w:r w:rsidRPr="00AB0D1B">
        <w:rPr>
          <w:rFonts w:ascii="Arial" w:eastAsia="Times New Roman" w:hAnsi="Arial" w:cs="Arial"/>
          <w:color w:val="000000"/>
          <w:sz w:val="20"/>
          <w:szCs w:val="20"/>
          <w:lang w:val="en"/>
        </w:rPr>
        <w:t> is considering providing financial information system design services, for example, to an entity that is providing accounting and financial reporting support to the </w:t>
      </w:r>
      <w:r w:rsidRPr="00AB0D1B">
        <w:rPr>
          <w:rFonts w:ascii="Arial" w:eastAsia="Times New Roman" w:hAnsi="Arial" w:cs="Arial"/>
          <w:i/>
          <w:iCs/>
          <w:color w:val="000000"/>
          <w:sz w:val="20"/>
          <w:szCs w:val="20"/>
          <w:bdr w:val="none" w:sz="0" w:space="0" w:color="auto" w:frame="1"/>
          <w:lang w:val="en"/>
        </w:rPr>
        <w:t>compliance audit client</w:t>
      </w:r>
      <w:r w:rsidRPr="00AB0D1B">
        <w:rPr>
          <w:rFonts w:ascii="Arial" w:eastAsia="Times New Roman" w:hAnsi="Arial" w:cs="Arial"/>
          <w:color w:val="000000"/>
          <w:sz w:val="20"/>
          <w:szCs w:val="20"/>
          <w:lang w:val="en"/>
        </w:rPr>
        <w:t>, the </w:t>
      </w:r>
      <w:r w:rsidRPr="00AB0D1B">
        <w:rPr>
          <w:rFonts w:ascii="Arial" w:eastAsia="Times New Roman" w:hAnsi="Arial" w:cs="Arial"/>
          <w:i/>
          <w:iCs/>
          <w:color w:val="000000"/>
          <w:sz w:val="20"/>
          <w:szCs w:val="20"/>
          <w:bdr w:val="none" w:sz="0" w:space="0" w:color="auto" w:frame="1"/>
          <w:lang w:val="en"/>
        </w:rPr>
        <w:t>member</w:t>
      </w:r>
      <w:r w:rsidRPr="00AB0D1B">
        <w:rPr>
          <w:rFonts w:ascii="Arial" w:eastAsia="Times New Roman" w:hAnsi="Arial" w:cs="Arial"/>
          <w:color w:val="000000"/>
          <w:sz w:val="20"/>
          <w:szCs w:val="20"/>
          <w:lang w:val="en"/>
        </w:rPr>
        <w:t> should use the “</w:t>
      </w:r>
      <w:hyperlink r:id="rId28" w:history="1">
        <w:r w:rsidRPr="00AB0D1B">
          <w:rPr>
            <w:rFonts w:ascii="Arial" w:eastAsia="Times New Roman" w:hAnsi="Arial" w:cs="Arial"/>
            <w:color w:val="41B6E6"/>
            <w:sz w:val="20"/>
            <w:szCs w:val="20"/>
            <w:bdr w:val="none" w:sz="0" w:space="0" w:color="auto" w:frame="1"/>
            <w:lang w:val="en"/>
          </w:rPr>
          <w:t>Conceptual Framework for Independence</w:t>
        </w:r>
      </w:hyperlink>
      <w:r w:rsidRPr="00AB0D1B">
        <w:rPr>
          <w:rFonts w:ascii="Arial" w:eastAsia="Times New Roman" w:hAnsi="Arial" w:cs="Arial"/>
          <w:color w:val="000000"/>
          <w:sz w:val="20"/>
          <w:szCs w:val="20"/>
          <w:lang w:val="en"/>
        </w:rPr>
        <w:t>” to evaluate whether </w:t>
      </w:r>
      <w:r w:rsidRPr="00AB0D1B">
        <w:rPr>
          <w:rFonts w:ascii="Arial" w:eastAsia="Times New Roman" w:hAnsi="Arial" w:cs="Arial"/>
          <w:i/>
          <w:iCs/>
          <w:color w:val="000000"/>
          <w:sz w:val="20"/>
          <w:szCs w:val="20"/>
          <w:bdr w:val="none" w:sz="0" w:space="0" w:color="auto" w:frame="1"/>
          <w:lang w:val="en"/>
        </w:rPr>
        <w:t>threats</w:t>
      </w:r>
      <w:r w:rsidRPr="00AB0D1B">
        <w:rPr>
          <w:rFonts w:ascii="Arial" w:eastAsia="Times New Roman" w:hAnsi="Arial" w:cs="Arial"/>
          <w:color w:val="000000"/>
          <w:sz w:val="20"/>
          <w:szCs w:val="20"/>
          <w:lang w:val="en"/>
        </w:rPr>
        <w:t> (specifically, the self-review </w:t>
      </w:r>
      <w:r w:rsidRPr="00AB0D1B">
        <w:rPr>
          <w:rFonts w:ascii="Arial" w:eastAsia="Times New Roman" w:hAnsi="Arial" w:cs="Arial"/>
          <w:i/>
          <w:iCs/>
          <w:color w:val="000000"/>
          <w:sz w:val="20"/>
          <w:szCs w:val="20"/>
          <w:bdr w:val="none" w:sz="0" w:space="0" w:color="auto" w:frame="1"/>
          <w:lang w:val="en"/>
        </w:rPr>
        <w:t>threat</w:t>
      </w:r>
      <w:r w:rsidRPr="00AB0D1B">
        <w:rPr>
          <w:rFonts w:ascii="Arial" w:eastAsia="Times New Roman" w:hAnsi="Arial" w:cs="Arial"/>
          <w:color w:val="000000"/>
          <w:sz w:val="20"/>
          <w:szCs w:val="20"/>
          <w:lang w:val="en"/>
        </w:rPr>
        <w:t>) are at an </w:t>
      </w:r>
      <w:r w:rsidRPr="00AB0D1B">
        <w:rPr>
          <w:rFonts w:ascii="Arial" w:eastAsia="Times New Roman" w:hAnsi="Arial" w:cs="Arial"/>
          <w:i/>
          <w:iCs/>
          <w:color w:val="000000"/>
          <w:sz w:val="20"/>
          <w:szCs w:val="20"/>
          <w:bdr w:val="none" w:sz="0" w:space="0" w:color="auto" w:frame="1"/>
          <w:lang w:val="en"/>
        </w:rPr>
        <w:t>acceptable level</w:t>
      </w:r>
      <w:r w:rsidRPr="00AB0D1B">
        <w:rPr>
          <w:rFonts w:ascii="Arial" w:eastAsia="Times New Roman" w:hAnsi="Arial" w:cs="Arial"/>
          <w:color w:val="000000"/>
          <w:sz w:val="20"/>
          <w:szCs w:val="20"/>
          <w:lang w:val="en"/>
        </w:rPr>
        <w:t> or whether </w:t>
      </w:r>
      <w:r w:rsidRPr="00AB0D1B">
        <w:rPr>
          <w:rFonts w:ascii="Arial" w:eastAsia="Times New Roman" w:hAnsi="Arial" w:cs="Arial"/>
          <w:i/>
          <w:iCs/>
          <w:color w:val="000000"/>
          <w:sz w:val="20"/>
          <w:szCs w:val="20"/>
          <w:bdr w:val="none" w:sz="0" w:space="0" w:color="auto" w:frame="1"/>
          <w:lang w:val="en"/>
        </w:rPr>
        <w:t>threats</w:t>
      </w:r>
      <w:r w:rsidRPr="00AB0D1B">
        <w:rPr>
          <w:rFonts w:ascii="Arial" w:eastAsia="Times New Roman" w:hAnsi="Arial" w:cs="Arial"/>
          <w:color w:val="000000"/>
          <w:sz w:val="20"/>
          <w:szCs w:val="20"/>
          <w:lang w:val="en"/>
        </w:rPr>
        <w:t> can be reduced to an </w:t>
      </w:r>
      <w:r w:rsidRPr="00AB0D1B">
        <w:rPr>
          <w:rFonts w:ascii="Arial" w:eastAsia="Times New Roman" w:hAnsi="Arial" w:cs="Arial"/>
          <w:i/>
          <w:iCs/>
          <w:color w:val="000000"/>
          <w:sz w:val="20"/>
          <w:szCs w:val="20"/>
          <w:bdr w:val="none" w:sz="0" w:space="0" w:color="auto" w:frame="1"/>
          <w:lang w:val="en"/>
        </w:rPr>
        <w:t>acceptable level</w:t>
      </w:r>
      <w:r w:rsidRPr="00AB0D1B">
        <w:rPr>
          <w:rFonts w:ascii="Arial" w:eastAsia="Times New Roman" w:hAnsi="Arial" w:cs="Arial"/>
          <w:color w:val="000000"/>
          <w:sz w:val="20"/>
          <w:szCs w:val="20"/>
          <w:lang w:val="en"/>
        </w:rPr>
        <w:t> by applying appropriate </w:t>
      </w:r>
      <w:hyperlink r:id="rId29" w:history="1">
        <w:r w:rsidRPr="00AB0D1B">
          <w:rPr>
            <w:rFonts w:ascii="Arial" w:eastAsia="Times New Roman" w:hAnsi="Arial" w:cs="Arial"/>
            <w:i/>
            <w:iCs/>
            <w:color w:val="41B6E6"/>
            <w:sz w:val="20"/>
            <w:szCs w:val="20"/>
            <w:bdr w:val="none" w:sz="0" w:space="0" w:color="auto" w:frame="1"/>
            <w:lang w:val="en"/>
          </w:rPr>
          <w:t>safeguards</w:t>
        </w:r>
      </w:hyperlink>
      <w:r w:rsidRPr="00AB0D1B">
        <w:rPr>
          <w:rFonts w:ascii="Arial" w:eastAsia="Times New Roman" w:hAnsi="Arial" w:cs="Arial"/>
          <w:color w:val="000000"/>
          <w:sz w:val="20"/>
          <w:szCs w:val="20"/>
          <w:lang w:val="en"/>
        </w:rPr>
        <w:t>.</w:t>
      </w:r>
    </w:p>
    <w:p w:rsidR="00AB0D1B" w:rsidRPr="00AB0D1B" w:rsidRDefault="00AB0D1B" w:rsidP="00AB0D1B">
      <w:pPr>
        <w:spacing w:before="120" w:after="120" w:line="300" w:lineRule="atLeast"/>
        <w:jc w:val="center"/>
        <w:rPr>
          <w:rFonts w:ascii="Arial" w:eastAsia="Times New Roman" w:hAnsi="Arial" w:cs="Arial"/>
          <w:color w:val="000000"/>
          <w:sz w:val="20"/>
          <w:szCs w:val="20"/>
          <w:lang w:val="en"/>
        </w:rPr>
      </w:pPr>
      <w:r w:rsidRPr="00AB0D1B">
        <w:rPr>
          <w:rFonts w:ascii="Arial" w:eastAsia="Times New Roman" w:hAnsi="Arial" w:cs="Arial"/>
          <w:color w:val="000000"/>
          <w:sz w:val="20"/>
          <w:szCs w:val="20"/>
          <w:lang w:val="en"/>
        </w:rPr>
        <w:t>[Issue Date: December 2022.]</w:t>
      </w:r>
    </w:p>
    <w:p w:rsidR="00AB0D1B" w:rsidRPr="00AB0D1B" w:rsidRDefault="00AB0D1B" w:rsidP="00AB0D1B">
      <w:pPr>
        <w:spacing w:after="0" w:line="240" w:lineRule="auto"/>
        <w:outlineLvl w:val="2"/>
        <w:rPr>
          <w:rFonts w:ascii="Arial" w:eastAsia="Times New Roman" w:hAnsi="Arial" w:cs="Arial"/>
          <w:b/>
          <w:bCs/>
          <w:color w:val="000000"/>
          <w:sz w:val="24"/>
          <w:szCs w:val="24"/>
          <w:lang w:val="en"/>
        </w:rPr>
      </w:pPr>
      <w:bookmarkStart w:id="6" w:name="et-qa10.06"/>
      <w:bookmarkEnd w:id="6"/>
      <w:r w:rsidRPr="00AB0D1B">
        <w:rPr>
          <w:rFonts w:ascii="Arial" w:eastAsia="Times New Roman" w:hAnsi="Arial" w:cs="Arial"/>
          <w:b/>
          <w:bCs/>
          <w:color w:val="000000"/>
          <w:sz w:val="20"/>
          <w:szCs w:val="20"/>
          <w:bdr w:val="none" w:sz="0" w:space="0" w:color="auto" w:frame="1"/>
          <w:lang w:val="en"/>
        </w:rPr>
        <w:t>.06 Evaluating Independence When Performing a Financial Statement Audit and a Compliance Audit for the Same Client</w:t>
      </w:r>
    </w:p>
    <w:p w:rsidR="00AB0D1B" w:rsidRPr="00AB0D1B" w:rsidRDefault="00AB0D1B" w:rsidP="00AB0D1B">
      <w:pPr>
        <w:spacing w:after="0" w:line="300" w:lineRule="atLeast"/>
        <w:ind w:left="72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Inquiry</w:t>
      </w:r>
      <w:r w:rsidRPr="00AB0D1B">
        <w:rPr>
          <w:rFonts w:ascii="Arial" w:eastAsia="Times New Roman" w:hAnsi="Arial" w:cs="Arial"/>
          <w:color w:val="000000"/>
          <w:sz w:val="20"/>
          <w:szCs w:val="20"/>
          <w:lang w:val="en"/>
        </w:rPr>
        <w:t> — When performing a </w:t>
      </w:r>
      <w:hyperlink r:id="rId30" w:history="1">
        <w:r w:rsidRPr="00AB0D1B">
          <w:rPr>
            <w:rFonts w:ascii="Arial" w:eastAsia="Times New Roman" w:hAnsi="Arial" w:cs="Arial"/>
            <w:i/>
            <w:iCs/>
            <w:color w:val="41B6E6"/>
            <w:sz w:val="20"/>
            <w:szCs w:val="20"/>
            <w:bdr w:val="none" w:sz="0" w:space="0" w:color="auto" w:frame="1"/>
            <w:lang w:val="en"/>
          </w:rPr>
          <w:t>financial statement</w:t>
        </w:r>
      </w:hyperlink>
      <w:r w:rsidRPr="00AB0D1B">
        <w:rPr>
          <w:rFonts w:ascii="Arial" w:eastAsia="Times New Roman" w:hAnsi="Arial" w:cs="Arial"/>
          <w:color w:val="000000"/>
          <w:sz w:val="20"/>
          <w:szCs w:val="20"/>
          <w:lang w:val="en"/>
        </w:rPr>
        <w:t> audit and a </w:t>
      </w:r>
      <w:hyperlink r:id="rId31" w:history="1">
        <w:r w:rsidRPr="00AB0D1B">
          <w:rPr>
            <w:rFonts w:ascii="Arial" w:eastAsia="Times New Roman" w:hAnsi="Arial" w:cs="Arial"/>
            <w:i/>
            <w:iCs/>
            <w:color w:val="41B6E6"/>
            <w:sz w:val="20"/>
            <w:szCs w:val="20"/>
            <w:bdr w:val="none" w:sz="0" w:space="0" w:color="auto" w:frame="1"/>
            <w:lang w:val="en"/>
          </w:rPr>
          <w:t>compliance audit</w:t>
        </w:r>
      </w:hyperlink>
      <w:r w:rsidRPr="00AB0D1B">
        <w:rPr>
          <w:rFonts w:ascii="Arial" w:eastAsia="Times New Roman" w:hAnsi="Arial" w:cs="Arial"/>
          <w:color w:val="000000"/>
          <w:sz w:val="20"/>
          <w:szCs w:val="20"/>
          <w:lang w:val="en"/>
        </w:rPr>
        <w:t> for the same </w:t>
      </w:r>
      <w:hyperlink r:id="rId32" w:history="1">
        <w:r w:rsidRPr="00AB0D1B">
          <w:rPr>
            <w:rFonts w:ascii="Arial" w:eastAsia="Times New Roman" w:hAnsi="Arial" w:cs="Arial"/>
            <w:i/>
            <w:iCs/>
            <w:color w:val="41B6E6"/>
            <w:sz w:val="20"/>
            <w:szCs w:val="20"/>
            <w:bdr w:val="none" w:sz="0" w:space="0" w:color="auto" w:frame="1"/>
            <w:lang w:val="en"/>
          </w:rPr>
          <w:t>client</w:t>
        </w:r>
      </w:hyperlink>
      <w:r w:rsidRPr="00AB0D1B">
        <w:rPr>
          <w:rFonts w:ascii="Arial" w:eastAsia="Times New Roman" w:hAnsi="Arial" w:cs="Arial"/>
          <w:color w:val="000000"/>
          <w:sz w:val="20"/>
          <w:szCs w:val="20"/>
          <w:lang w:val="en"/>
        </w:rPr>
        <w:t>, how should the </w:t>
      </w:r>
      <w:hyperlink r:id="rId33" w:history="1">
        <w:r w:rsidRPr="00AB0D1B">
          <w:rPr>
            <w:rFonts w:ascii="Arial" w:eastAsia="Times New Roman" w:hAnsi="Arial" w:cs="Arial"/>
            <w:i/>
            <w:iCs/>
            <w:color w:val="41B6E6"/>
            <w:sz w:val="20"/>
            <w:szCs w:val="20"/>
            <w:bdr w:val="none" w:sz="0" w:space="0" w:color="auto" w:frame="1"/>
            <w:lang w:val="en"/>
          </w:rPr>
          <w:t>independence</w:t>
        </w:r>
      </w:hyperlink>
      <w:r w:rsidRPr="00AB0D1B">
        <w:rPr>
          <w:rFonts w:ascii="Arial" w:eastAsia="Times New Roman" w:hAnsi="Arial" w:cs="Arial"/>
          <w:color w:val="000000"/>
          <w:sz w:val="20"/>
          <w:szCs w:val="20"/>
          <w:lang w:val="en"/>
        </w:rPr>
        <w:t> requirements be applied?</w:t>
      </w:r>
    </w:p>
    <w:p w:rsidR="00AB0D1B" w:rsidRPr="00AB0D1B" w:rsidRDefault="00AB0D1B" w:rsidP="00AB0D1B">
      <w:pPr>
        <w:spacing w:after="0" w:line="300" w:lineRule="atLeast"/>
        <w:ind w:left="720"/>
        <w:rPr>
          <w:rFonts w:ascii="Arial" w:eastAsia="Times New Roman" w:hAnsi="Arial" w:cs="Arial"/>
          <w:color w:val="000000"/>
          <w:sz w:val="20"/>
          <w:szCs w:val="20"/>
          <w:lang w:val="en"/>
        </w:rPr>
      </w:pPr>
      <w:r w:rsidRPr="00AB0D1B">
        <w:rPr>
          <w:rFonts w:ascii="Arial" w:eastAsia="Times New Roman" w:hAnsi="Arial" w:cs="Arial"/>
          <w:i/>
          <w:iCs/>
          <w:color w:val="000000"/>
          <w:sz w:val="20"/>
          <w:szCs w:val="20"/>
          <w:bdr w:val="none" w:sz="0" w:space="0" w:color="auto" w:frame="1"/>
          <w:lang w:val="en"/>
        </w:rPr>
        <w:t>Reply</w:t>
      </w:r>
      <w:r w:rsidRPr="00AB0D1B">
        <w:rPr>
          <w:rFonts w:ascii="Arial" w:eastAsia="Times New Roman" w:hAnsi="Arial" w:cs="Arial"/>
          <w:color w:val="000000"/>
          <w:sz w:val="20"/>
          <w:szCs w:val="20"/>
          <w:lang w:val="en"/>
        </w:rPr>
        <w:t xml:space="preserve"> — </w:t>
      </w:r>
      <w:proofErr w:type="gramStart"/>
      <w:r w:rsidRPr="00AB0D1B">
        <w:rPr>
          <w:rFonts w:ascii="Arial" w:eastAsia="Times New Roman" w:hAnsi="Arial" w:cs="Arial"/>
          <w:color w:val="000000"/>
          <w:sz w:val="20"/>
          <w:szCs w:val="20"/>
          <w:lang w:val="en"/>
        </w:rPr>
        <w:t>When</w:t>
      </w:r>
      <w:proofErr w:type="gramEnd"/>
      <w:r w:rsidRPr="00AB0D1B">
        <w:rPr>
          <w:rFonts w:ascii="Arial" w:eastAsia="Times New Roman" w:hAnsi="Arial" w:cs="Arial"/>
          <w:color w:val="000000"/>
          <w:sz w:val="20"/>
          <w:szCs w:val="20"/>
          <w:lang w:val="en"/>
        </w:rPr>
        <w:t xml:space="preserve"> performing a </w:t>
      </w:r>
      <w:r w:rsidRPr="00AB0D1B">
        <w:rPr>
          <w:rFonts w:ascii="Arial" w:eastAsia="Times New Roman" w:hAnsi="Arial" w:cs="Arial"/>
          <w:i/>
          <w:iCs/>
          <w:color w:val="000000"/>
          <w:sz w:val="20"/>
          <w:szCs w:val="20"/>
          <w:bdr w:val="none" w:sz="0" w:space="0" w:color="auto" w:frame="1"/>
          <w:lang w:val="en"/>
        </w:rPr>
        <w:t>financial statement</w:t>
      </w:r>
      <w:r w:rsidRPr="00AB0D1B">
        <w:rPr>
          <w:rFonts w:ascii="Arial" w:eastAsia="Times New Roman" w:hAnsi="Arial" w:cs="Arial"/>
          <w:color w:val="000000"/>
          <w:sz w:val="20"/>
          <w:szCs w:val="20"/>
          <w:lang w:val="en"/>
        </w:rPr>
        <w:t> audit and a </w:t>
      </w:r>
      <w:r w:rsidRPr="00AB0D1B">
        <w:rPr>
          <w:rFonts w:ascii="Arial" w:eastAsia="Times New Roman" w:hAnsi="Arial" w:cs="Arial"/>
          <w:i/>
          <w:iCs/>
          <w:color w:val="000000"/>
          <w:sz w:val="20"/>
          <w:szCs w:val="20"/>
          <w:bdr w:val="none" w:sz="0" w:space="0" w:color="auto" w:frame="1"/>
          <w:lang w:val="en"/>
        </w:rPr>
        <w:t>compliance audit</w:t>
      </w:r>
      <w:r w:rsidRPr="00AB0D1B">
        <w:rPr>
          <w:rFonts w:ascii="Arial" w:eastAsia="Times New Roman" w:hAnsi="Arial" w:cs="Arial"/>
          <w:color w:val="000000"/>
          <w:sz w:val="20"/>
          <w:szCs w:val="20"/>
          <w:lang w:val="en"/>
        </w:rPr>
        <w:t> for the same </w:t>
      </w:r>
      <w:r w:rsidRPr="00AB0D1B">
        <w:rPr>
          <w:rFonts w:ascii="Arial" w:eastAsia="Times New Roman" w:hAnsi="Arial" w:cs="Arial"/>
          <w:i/>
          <w:iCs/>
          <w:color w:val="000000"/>
          <w:sz w:val="20"/>
          <w:szCs w:val="20"/>
          <w:bdr w:val="none" w:sz="0" w:space="0" w:color="auto" w:frame="1"/>
          <w:lang w:val="en"/>
        </w:rPr>
        <w:t>client</w:t>
      </w:r>
      <w:r w:rsidRPr="00AB0D1B">
        <w:rPr>
          <w:rFonts w:ascii="Arial" w:eastAsia="Times New Roman" w:hAnsi="Arial" w:cs="Arial"/>
          <w:color w:val="000000"/>
          <w:sz w:val="20"/>
          <w:szCs w:val="20"/>
          <w:lang w:val="en"/>
        </w:rPr>
        <w:t>, </w:t>
      </w:r>
      <w:hyperlink r:id="rId34" w:history="1">
        <w:r w:rsidRPr="00AB0D1B">
          <w:rPr>
            <w:rFonts w:ascii="Arial" w:eastAsia="Times New Roman" w:hAnsi="Arial" w:cs="Arial"/>
            <w:i/>
            <w:iCs/>
            <w:color w:val="41B6E6"/>
            <w:sz w:val="20"/>
            <w:szCs w:val="20"/>
            <w:bdr w:val="none" w:sz="0" w:space="0" w:color="auto" w:frame="1"/>
            <w:lang w:val="en"/>
          </w:rPr>
          <w:t>members</w:t>
        </w:r>
      </w:hyperlink>
      <w:r w:rsidRPr="00AB0D1B">
        <w:rPr>
          <w:rFonts w:ascii="Arial" w:eastAsia="Times New Roman" w:hAnsi="Arial" w:cs="Arial"/>
          <w:color w:val="000000"/>
          <w:sz w:val="20"/>
          <w:szCs w:val="20"/>
          <w:lang w:val="en"/>
        </w:rPr>
        <w:t> should comply with the </w:t>
      </w:r>
      <w:r w:rsidRPr="00AB0D1B">
        <w:rPr>
          <w:rFonts w:ascii="Arial" w:eastAsia="Times New Roman" w:hAnsi="Arial" w:cs="Arial"/>
          <w:i/>
          <w:iCs/>
          <w:color w:val="000000"/>
          <w:sz w:val="20"/>
          <w:szCs w:val="20"/>
          <w:bdr w:val="none" w:sz="0" w:space="0" w:color="auto" w:frame="1"/>
          <w:lang w:val="en"/>
        </w:rPr>
        <w:t>independence</w:t>
      </w:r>
      <w:r w:rsidRPr="00AB0D1B">
        <w:rPr>
          <w:rFonts w:ascii="Arial" w:eastAsia="Times New Roman" w:hAnsi="Arial" w:cs="Arial"/>
          <w:color w:val="000000"/>
          <w:sz w:val="20"/>
          <w:szCs w:val="20"/>
          <w:lang w:val="en"/>
        </w:rPr>
        <w:t> requirements for each </w:t>
      </w:r>
      <w:hyperlink r:id="rId35" w:history="1">
        <w:r w:rsidRPr="00AB0D1B">
          <w:rPr>
            <w:rFonts w:ascii="Arial" w:eastAsia="Times New Roman" w:hAnsi="Arial" w:cs="Arial"/>
            <w:i/>
            <w:iCs/>
            <w:color w:val="41B6E6"/>
            <w:sz w:val="20"/>
            <w:szCs w:val="20"/>
            <w:bdr w:val="none" w:sz="0" w:space="0" w:color="auto" w:frame="1"/>
            <w:lang w:val="en"/>
          </w:rPr>
          <w:t>attest engagement</w:t>
        </w:r>
      </w:hyperlink>
      <w:r w:rsidRPr="00AB0D1B">
        <w:rPr>
          <w:rFonts w:ascii="Arial" w:eastAsia="Times New Roman" w:hAnsi="Arial" w:cs="Arial"/>
          <w:color w:val="000000"/>
          <w:sz w:val="20"/>
          <w:szCs w:val="20"/>
          <w:lang w:val="en"/>
        </w:rPr>
        <w:t>. The entities requiring </w:t>
      </w:r>
      <w:r w:rsidRPr="00AB0D1B">
        <w:rPr>
          <w:rFonts w:ascii="Arial" w:eastAsia="Times New Roman" w:hAnsi="Arial" w:cs="Arial"/>
          <w:i/>
          <w:iCs/>
          <w:color w:val="000000"/>
          <w:sz w:val="20"/>
          <w:szCs w:val="20"/>
          <w:bdr w:val="none" w:sz="0" w:space="0" w:color="auto" w:frame="1"/>
          <w:lang w:val="en"/>
        </w:rPr>
        <w:t>independence</w:t>
      </w:r>
      <w:r w:rsidRPr="00AB0D1B">
        <w:rPr>
          <w:rFonts w:ascii="Arial" w:eastAsia="Times New Roman" w:hAnsi="Arial" w:cs="Arial"/>
          <w:color w:val="000000"/>
          <w:sz w:val="20"/>
          <w:szCs w:val="20"/>
          <w:lang w:val="en"/>
        </w:rPr>
        <w:t> in each </w:t>
      </w:r>
      <w:r w:rsidRPr="00AB0D1B">
        <w:rPr>
          <w:rFonts w:ascii="Arial" w:eastAsia="Times New Roman" w:hAnsi="Arial" w:cs="Arial"/>
          <w:i/>
          <w:iCs/>
          <w:color w:val="000000"/>
          <w:sz w:val="20"/>
          <w:szCs w:val="20"/>
          <w:bdr w:val="none" w:sz="0" w:space="0" w:color="auto" w:frame="1"/>
          <w:lang w:val="en"/>
        </w:rPr>
        <w:t>attest engagement</w:t>
      </w:r>
      <w:r w:rsidRPr="00AB0D1B">
        <w:rPr>
          <w:rFonts w:ascii="Arial" w:eastAsia="Times New Roman" w:hAnsi="Arial" w:cs="Arial"/>
          <w:color w:val="000000"/>
          <w:sz w:val="20"/>
          <w:szCs w:val="20"/>
          <w:lang w:val="en"/>
        </w:rPr>
        <w:t> may be the same or may be different. Therefore, an evaluation of each </w:t>
      </w:r>
      <w:r w:rsidRPr="00AB0D1B">
        <w:rPr>
          <w:rFonts w:ascii="Arial" w:eastAsia="Times New Roman" w:hAnsi="Arial" w:cs="Arial"/>
          <w:i/>
          <w:iCs/>
          <w:color w:val="000000"/>
          <w:sz w:val="20"/>
          <w:szCs w:val="20"/>
          <w:bdr w:val="none" w:sz="0" w:space="0" w:color="auto" w:frame="1"/>
          <w:lang w:val="en"/>
        </w:rPr>
        <w:t>attest engagement</w:t>
      </w:r>
      <w:r w:rsidRPr="00AB0D1B">
        <w:rPr>
          <w:rFonts w:ascii="Arial" w:eastAsia="Times New Roman" w:hAnsi="Arial" w:cs="Arial"/>
          <w:color w:val="000000"/>
          <w:sz w:val="20"/>
          <w:szCs w:val="20"/>
          <w:lang w:val="en"/>
        </w:rPr>
        <w:t> should be performed to identify all entities requiring </w:t>
      </w:r>
      <w:r w:rsidRPr="00AB0D1B">
        <w:rPr>
          <w:rFonts w:ascii="Arial" w:eastAsia="Times New Roman" w:hAnsi="Arial" w:cs="Arial"/>
          <w:i/>
          <w:iCs/>
          <w:color w:val="000000"/>
          <w:sz w:val="20"/>
          <w:szCs w:val="20"/>
          <w:bdr w:val="none" w:sz="0" w:space="0" w:color="auto" w:frame="1"/>
          <w:lang w:val="en"/>
        </w:rPr>
        <w:t>independence</w:t>
      </w:r>
      <w:r w:rsidRPr="00AB0D1B">
        <w:rPr>
          <w:rFonts w:ascii="Arial" w:eastAsia="Times New Roman" w:hAnsi="Arial" w:cs="Arial"/>
          <w:color w:val="000000"/>
          <w:sz w:val="20"/>
          <w:szCs w:val="20"/>
          <w:lang w:val="en"/>
        </w:rPr>
        <w:t>.</w:t>
      </w:r>
    </w:p>
    <w:p w:rsidR="00EF1B1A" w:rsidRDefault="00EF1B1A"/>
    <w:sectPr w:rsidR="00EF1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1B"/>
    <w:rsid w:val="00006C2A"/>
    <w:rsid w:val="00AB0D1B"/>
    <w:rsid w:val="00EF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50C63-EB15-49D7-BC04-378CC3AA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66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aicpa.org/codeofconduct/resourceseamlesslogin.aspx?prod=ethics&amp;tdoc=et-cod&amp;tptr=et-cod_def_compliance_audit_client" TargetMode="External"/><Relationship Id="rId18" Type="http://schemas.openxmlformats.org/officeDocument/2006/relationships/hyperlink" Target="http://pub.aicpa.org/codeofconduct/resourceseamlesslogin.aspx?prod=ethics&amp;tdoc=et-cod&amp;tptr=et-cod_def_independence" TargetMode="External"/><Relationship Id="rId26" Type="http://schemas.openxmlformats.org/officeDocument/2006/relationships/hyperlink" Target="http://pub.aicpa.org/codeofconduct/resourceseamlesslogin.aspx?prod=ethics&amp;tdoc=et-cod&amp;tptr=et-cod_def_compliance_audit_client" TargetMode="External"/><Relationship Id="rId39" Type="http://schemas.openxmlformats.org/officeDocument/2006/relationships/customXml" Target="../customXml/item2.xml"/><Relationship Id="rId21" Type="http://schemas.openxmlformats.org/officeDocument/2006/relationships/hyperlink" Target="http://pub.aicpa.org/codeofconduct/resourceseamlesslogin.aspx?prod=ethics&amp;tdoc=et-cod&amp;tptr=et-cod1.210.010" TargetMode="External"/><Relationship Id="rId34" Type="http://schemas.openxmlformats.org/officeDocument/2006/relationships/hyperlink" Target="http://pub.aicpa.org/codeofconduct/resourceseamlesslogin.aspx?prod=ethics&amp;tdoc=et-cod&amp;tptr=et-cod_def_member" TargetMode="External"/><Relationship Id="rId7" Type="http://schemas.openxmlformats.org/officeDocument/2006/relationships/hyperlink" Target="http://pub.aicpa.org/codeofconduct/resourceseamlesslogin.aspx?prod=ethics&amp;tdoc=et-cod&amp;tptr=et-cod1.297" TargetMode="External"/><Relationship Id="rId12" Type="http://schemas.openxmlformats.org/officeDocument/2006/relationships/hyperlink" Target="http://pub.aicpa.org/codeofconduct/resourceseamlesslogin.aspx?prod=ethics&amp;tdoc=et-cod&amp;tptr=et-cod_def_member" TargetMode="External"/><Relationship Id="rId17" Type="http://schemas.openxmlformats.org/officeDocument/2006/relationships/hyperlink" Target="http://pub.aicpa.org/codeofconduct/resourceseamlesslogin.aspx?prod=ethics&amp;tdoc=et-cod&amp;tptr=et-cod_def_member" TargetMode="External"/><Relationship Id="rId25" Type="http://schemas.openxmlformats.org/officeDocument/2006/relationships/hyperlink" Target="http://pub.aicpa.org/codeofconduct/resourceseamlesslogin.aspx?prod=ethics&amp;tdoc=et-cod&amp;tptr=et-cod_def_acceptable_level" TargetMode="External"/><Relationship Id="rId33" Type="http://schemas.openxmlformats.org/officeDocument/2006/relationships/hyperlink" Target="http://pub.aicpa.org/codeofconduct/resourceseamlesslogin.aspx?prod=ethics&amp;tdoc=et-cod&amp;tptr=et-cod_def_independence" TargetMode="External"/><Relationship Id="rId38"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yperlink" Target="http://pub.aicpa.org/codeofconduct/resourceseamlesslogin.aspx?prod=ethics&amp;tdoc=et-cod&amp;tptr=et-cod_def_period_of_the_professional" TargetMode="External"/><Relationship Id="rId20" Type="http://schemas.openxmlformats.org/officeDocument/2006/relationships/hyperlink" Target="http://pub.aicpa.org/codeofconduct/resourceseamlesslogin.aspx?prod=ethics&amp;tdoc=et-cod&amp;tptr=et-cod_def_member" TargetMode="External"/><Relationship Id="rId29" Type="http://schemas.openxmlformats.org/officeDocument/2006/relationships/hyperlink" Target="http://pub.aicpa.org/codeofconduct/resourceseamlesslogin.aspx?prod=ethics&amp;tdoc=et-cod&amp;tptr=et-cod_def_safeguards" TargetMode="External"/><Relationship Id="rId1" Type="http://schemas.openxmlformats.org/officeDocument/2006/relationships/styles" Target="styles.xml"/><Relationship Id="rId6" Type="http://schemas.openxmlformats.org/officeDocument/2006/relationships/hyperlink" Target="http://pub.aicpa.org/codeofconduct/resourceseamlesslogin.aspx?prod=ethics&amp;tdoc=et-cod&amp;tptr=et-cod_def_member" TargetMode="External"/><Relationship Id="rId11" Type="http://schemas.openxmlformats.org/officeDocument/2006/relationships/hyperlink" Target="http://pub.aicpa.org/codeofconduct/resourceseamlesslogin.aspx?prod=ethics&amp;tdoc=et-cod&amp;tptr=et-cod_def_compliance_audit" TargetMode="External"/><Relationship Id="rId24" Type="http://schemas.openxmlformats.org/officeDocument/2006/relationships/hyperlink" Target="http://pub.aicpa.org/codeofconduct/resourceseamlesslogin.aspx?prod=ethics&amp;tdoc=et-cod&amp;tptr=et-cod1.210.010" TargetMode="External"/><Relationship Id="rId32" Type="http://schemas.openxmlformats.org/officeDocument/2006/relationships/hyperlink" Target="http://pub.aicpa.org/codeofconduct/resourceseamlesslogin.aspx?prod=ethics&amp;tdoc=et-cod&amp;tptr=et-cod_def_client"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hyperlink" Target="http://pub.aicpa.org/codeofconduct/resourceseamlesslogin.aspx?prod=ethics&amp;tdoc=et-cod&amp;tptr=et-cod_def_attest_engagement" TargetMode="External"/><Relationship Id="rId15" Type="http://schemas.openxmlformats.org/officeDocument/2006/relationships/hyperlink" Target="http://pub.aicpa.org/codeofconduct/resourceseamlesslogin.aspx?prod=ethics&amp;tdoc=et-cod&amp;tptr=et-cod_def_compliance_audit_client" TargetMode="External"/><Relationship Id="rId23" Type="http://schemas.openxmlformats.org/officeDocument/2006/relationships/hyperlink" Target="http://pub.aicpa.org/codeofconduct/resourceseamlesslogin.aspx?prod=ethics&amp;tdoc=et-cod&amp;tptr=et-cod_def_independence" TargetMode="External"/><Relationship Id="rId28" Type="http://schemas.openxmlformats.org/officeDocument/2006/relationships/hyperlink" Target="http://pub.aicpa.org/codeofconduct/resourceseamlesslogin.aspx?prod=ethics&amp;tdoc=et-cod&amp;tptr=et-cod1.210.010" TargetMode="External"/><Relationship Id="rId36" Type="http://schemas.openxmlformats.org/officeDocument/2006/relationships/fontTable" Target="fontTable.xml"/><Relationship Id="rId10" Type="http://schemas.openxmlformats.org/officeDocument/2006/relationships/hyperlink" Target="http://pub.aicpa.org/codeofconduct/resourceseamlesslogin.aspx?prod=ethics&amp;tdoc=et-cod&amp;tptr=et-cod_def_compliance_audit_client" TargetMode="External"/><Relationship Id="rId19" Type="http://schemas.openxmlformats.org/officeDocument/2006/relationships/hyperlink" Target="http://pub.aicpa.org/codeofconduct/resourceseamlesslogin.aspx?prod=ethics&amp;tdoc=et-cod&amp;tptr=et-cod_def_compliance_audit" TargetMode="External"/><Relationship Id="rId31" Type="http://schemas.openxmlformats.org/officeDocument/2006/relationships/hyperlink" Target="http://pub.aicpa.org/codeofconduct/resourceseamlesslogin.aspx?prod=ethics&amp;tdoc=et-cod&amp;tptr=et-cod_def_compliance_audit" TargetMode="External"/><Relationship Id="rId4" Type="http://schemas.openxmlformats.org/officeDocument/2006/relationships/hyperlink" Target="http://pub.aicpa.org/codeofconduct/resourceseamlesslogin.aspx?prod=ethics&amp;tdoc=et-cod&amp;tptr=et-cod_def_compliance_audit" TargetMode="External"/><Relationship Id="rId9" Type="http://schemas.openxmlformats.org/officeDocument/2006/relationships/hyperlink" Target="http://pub.aicpa.org/codeofconduct/resourceseamlesslogin.aspx?prod=ethics&amp;tdoc=et-cod&amp;tptr=et-cod_def_attest_engagement" TargetMode="External"/><Relationship Id="rId14" Type="http://schemas.openxmlformats.org/officeDocument/2006/relationships/hyperlink" Target="http://pub.aicpa.org/codeofconduct/resourceseamlesslogin.aspx?prod=ethics&amp;tdoc=et-cod&amp;tptr=et-cod_def_compliance_audit" TargetMode="External"/><Relationship Id="rId22" Type="http://schemas.openxmlformats.org/officeDocument/2006/relationships/hyperlink" Target="http://pub.aicpa.org/codeofconduct/resourceseamlesslogin.aspx?prod=ethics&amp;tdoc=et-cod&amp;tptr=et-cod_def_threat" TargetMode="External"/><Relationship Id="rId27" Type="http://schemas.openxmlformats.org/officeDocument/2006/relationships/hyperlink" Target="http://pub.aicpa.org/codeofconduct/resourceseamlesslogin.aspx?prod=ethics&amp;tdoc=et-cod&amp;tptr=et-cod1.210.010" TargetMode="External"/><Relationship Id="rId30" Type="http://schemas.openxmlformats.org/officeDocument/2006/relationships/hyperlink" Target="http://pub.aicpa.org/codeofconduct/resourceseamlesslogin.aspx?prod=ethics&amp;tdoc=et-cod&amp;tptr=et-cod_def_financial_statements" TargetMode="External"/><Relationship Id="rId35" Type="http://schemas.openxmlformats.org/officeDocument/2006/relationships/hyperlink" Target="http://pub.aicpa.org/codeofconduct/resourceseamlesslogin.aspx?prod=ethics&amp;tdoc=et-cod&amp;tptr=et-cod_def_attest_engagement" TargetMode="External"/><Relationship Id="rId8" Type="http://schemas.openxmlformats.org/officeDocument/2006/relationships/hyperlink" Target="http://pub.aicpa.org/codeofconduct/resourceseamlesslogin.aspx?prod=ethics&amp;tdoc=et-cod&amp;tptr=et-cod_def_financial_statement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AC6CEC9A23648BF61E340A5B4156C" ma:contentTypeVersion="7" ma:contentTypeDescription="Create a new document." ma:contentTypeScope="" ma:versionID="0101fd9566cd6f2b64808d9163b113c0">
  <xsd:schema xmlns:xsd="http://www.w3.org/2001/XMLSchema" xmlns:xs="http://www.w3.org/2001/XMLSchema" xmlns:p="http://schemas.microsoft.com/office/2006/metadata/properties" xmlns:ns2="91aedb74-5615-40bf-ae91-70e044494379" targetNamespace="http://schemas.microsoft.com/office/2006/metadata/properties" ma:root="true" ma:fieldsID="940ec141f9fef551f5e805b0527c9ab5" ns2:_="">
    <xsd:import namespace="91aedb74-5615-40bf-ae91-70e0444943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edb74-5615-40bf-ae91-70e044494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5cedd7a-fdfc-4e25-b725-22258f4bab2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aedb74-5615-40bf-ae91-70e0444943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0199C9-EDEC-48F8-AA0E-48774613F5F6}"/>
</file>

<file path=customXml/itemProps2.xml><?xml version="1.0" encoding="utf-8"?>
<ds:datastoreItem xmlns:ds="http://schemas.openxmlformats.org/officeDocument/2006/customXml" ds:itemID="{5F753C41-FC85-4402-947C-133E7FACEAC7}"/>
</file>

<file path=customXml/itemProps3.xml><?xml version="1.0" encoding="utf-8"?>
<ds:datastoreItem xmlns:ds="http://schemas.openxmlformats.org/officeDocument/2006/customXml" ds:itemID="{E8E43E07-050A-4BB2-B25B-B6ED39921704}"/>
</file>

<file path=docProps/app.xml><?xml version="1.0" encoding="utf-8"?>
<Properties xmlns="http://schemas.openxmlformats.org/officeDocument/2006/extended-properties" xmlns:vt="http://schemas.openxmlformats.org/officeDocument/2006/docPropsVTypes">
  <Template>Normal</Template>
  <TotalTime>7</TotalTime>
  <Pages>3</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Crawford</dc:creator>
  <cp:keywords/>
  <dc:description/>
  <cp:lastModifiedBy>Frank Crawford</cp:lastModifiedBy>
  <cp:revision>2</cp:revision>
  <cp:lastPrinted>2023-05-01T19:25:00Z</cp:lastPrinted>
  <dcterms:created xsi:type="dcterms:W3CDTF">2023-05-01T19:22:00Z</dcterms:created>
  <dcterms:modified xsi:type="dcterms:W3CDTF">2023-05-01T19:29:00Z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0x0101003FDAC6CEC9A23648BF61E340A5B4156C</vt:lpwstr>
  </property>
</Properties>
</file>